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C6" w:rsidRDefault="001806C6">
      <w:pPr>
        <w:spacing w:before="280" w:after="1" w:line="22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ПРОКУРАТУРА   ИНФОРМИРУЕТ</w:t>
      </w:r>
    </w:p>
    <w:p w:rsidR="001806C6" w:rsidRPr="001806C6" w:rsidRDefault="001806C6" w:rsidP="001806C6">
      <w:pPr>
        <w:spacing w:before="280"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F5FCE" w:rsidRPr="001806C6" w:rsidRDefault="008F5FCE">
      <w:pPr>
        <w:spacing w:before="280"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КАКОВЫ СПОСОБЫ ЗАЩИТЫ УЧАСТНИКОВ ДОЛЕВОГО СТРОИТЕЛЬСТВА?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Защита прав участников долевого строительства (дольщиков) может осуществляться различными способами, в частности путем признания права собственности на объект долевого строительства, признания сделки недействительной, возмещения убытков, взыскания неустойки и т.д.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1. Признание права собственности на объект долевого строительства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Если застройщик задерживает ввод дома в эксплуатацию, не получает необходимое на это разрешение, дольщик вправе, в зависимости от степени готовности дома, фактической передачи ему объекта долевого строительства и иных обстоятельств, требовать, в частности, признания в судебном порядке: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- права собственности на объект недвижимости;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- права собственности на объект незавершенного строительства;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- права на долю в праве общей долевой собственности на многоквартирный дом, соответствующую объекту долевого строительства.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2. Признание сделки недействительной и применение последствий ее недействительности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Если денежные средства привлекались лицом, не имеющим на это права или с нарушением установленного порядка их привлечения, то по требованию дольщика сделка может быть признана недействительной. От этого лица можно потребовать немедленного возврата переданных ему денежных средств, уплаты в двойном размере предусмотренных </w:t>
      </w:r>
      <w:hyperlink r:id="rId4" w:history="1">
        <w:r w:rsidRPr="001806C6">
          <w:rPr>
            <w:rFonts w:ascii="Times New Roman" w:hAnsi="Times New Roman" w:cs="Times New Roman"/>
            <w:color w:val="0000FF"/>
            <w:sz w:val="26"/>
            <w:szCs w:val="26"/>
          </w:rPr>
          <w:t>ст. 395</w:t>
        </w:r>
      </w:hyperlink>
      <w:r w:rsidRPr="001806C6">
        <w:rPr>
          <w:rFonts w:ascii="Times New Roman" w:hAnsi="Times New Roman" w:cs="Times New Roman"/>
          <w:sz w:val="26"/>
          <w:szCs w:val="26"/>
        </w:rPr>
        <w:t xml:space="preserve"> ГК РФ процентов и возмещения сверх суммы указанных процентов причиненных убытков 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Привлечение денежных сре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>аждан допускается только на основании договора участия в долевом строительстве, жилищных сертификатов (если размещение таких сертификатов начато до 01.07.2018) и, при определенных условиях, участия в жилищно-строительных и жилищно-накопительных кооперативах.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1806C6">
        <w:rPr>
          <w:rFonts w:ascii="Times New Roman" w:hAnsi="Times New Roman" w:cs="Times New Roman"/>
          <w:sz w:val="26"/>
          <w:szCs w:val="26"/>
        </w:rPr>
        <w:t>Поэтому будьте осторожны, если вместо договора долевого участия вам предложат заключить, например, предварительный договор купли-продажи, предварительный договор долевого строительства, инвестиционный договор, договор бронирования определенной квартиры, договор купли-продажи векселя, который будет погашен им путем предоставления квартиры, договор займа, а также внести денежные средства на свой депозитный счет в банке и т.д.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 xml:space="preserve">  Законодательство об участии в долевом строительстве будет распространяться на указанные правоотношения только в случае, если суд установит, что сторонами действительно имелся в виду ДДУ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>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lastRenderedPageBreak/>
        <w:t xml:space="preserve">Участник долевого строительства вправе также обратиться 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в суд с требованием о признании сделки недействительной при нарушении застройщиком требований к проектной декларации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>. В этом случае застройщик обязан возвратить дольщику-гражданину полученные от него денежные средства и уплатить проценты в размере двойной величины 1/300 ставки рефинансирования Банка России, действующей на день возврата денежных средств.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Еще одно основание для признания ДДУ недействительным по требованию дольщика - несоответствие условий договора, например, о характеристиках подлежащего передаче дольщику объекта, информации, включенной в проектную декларацию на момент заключения договора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3. Возмещение убытков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Убытки подлежат возмещению сверх неустоек и штрафов, предусмотренных законодательством об участии в долевом строительстве и ДДУ. Убытки могут быть понесены, например, из-за того, что в связи с нарушением застройщиком срока передачи объекта дольщик был вынужден арендовать жилье.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4. Взыскание неустойки (пеней)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Застройщик должен уплатить дольщику неустойку (пени) в следующих случаях: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1) если нарушил сроки 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передачи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 xml:space="preserve"> дольщику объекта строительства, не согласовав при этом изменение условия договора об участии в долевом строительстве в части сроков сдачи объекта. Размер неустойки (пени) составляет двойную величину 1/300 ставки рефинансирования Банка России на день исполнения обязательства от цены договора за каждый день просрочки;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2) если нарушил согласованный с дольщиком срок устранения недостатков (дефектов) объекта долевого строительства, обнаруженных в течение гарантийного срока. Размер неустойки (пени) составляет 1% от стоимости расходов на устранение такого недостатка (дефекта) либо от стоимости жилого помещения, являющегося объектом долевого строительства, если выявленные недостатки (дефекты) могут служить основанием для признания жилого помещения непригодным для проживания.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5. Компенсация морального вреда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Достаточное основание для взыскания компенсации морального вреда - установленный факт нарушения прав дольщика.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6. Взыскание штрафа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При удовлетворении судом требований участника долевого строительства, которые не были удовлетворены застройщиком добровольно, суд взыскивает с застройщика в пользу дольщика штраф в размере 50% от суммы, присужденной судом дольщику.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При этом намерение застройщика частично удовлетворить требования участника долевого строительства без реального перечисления ему денежных средств,  не является основанием для освобождения застройщика от уплаты штрафа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7. Прекращение правоотношений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Дольщик вправе в одностороннем порядке отказаться от исполнения ДДУ, в частности, в следующих случаях: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1) если застройщик существенно нарушил требования к качеству объекта строительства или не устранил недостатки в строительстве в установленный участником долевого строительства разумный срок;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2) срок передачи объекта долевого строительства нарушен более чем на два месяца;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3) застройщик не уведомил дольщика о прекращении договора поручительства и (или) не заключил новый договор поручительства (в случае, если ДДУ заключен с первым участником долевого строительства до 20.10.2017).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В судебном порядке 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 xml:space="preserve"> может быть расторгнут, в частности, в следующих случаях: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1) если прекращено или приостановлено строительство многоквартирного дома и очевидно, что в предусмотренный договором срок объект долевого строительства не будет передан дольщику;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2) существенно изменена проектная документация, в том числе превышено допустимое изменение общей площади жилого помещения или площади нежилого помещения, установленное договором участия в долевом строительстве в пределах 5% указанной площади;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3) изменилось назначение общего имущества и (или) нежилых помещений, входящих в состав объекта долевого строительства.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При расторжении договора застройщик обязан вернуть уплаченную дольщиком в счет цены договора денежную сумму, а также уплатить проценты на эту сумму в двойном размере исходя из 1/300 ставки рефинансирования Банка России.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8. Обращение за содействием к органам государственной власти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1806C6">
        <w:rPr>
          <w:rFonts w:ascii="Times New Roman" w:hAnsi="Times New Roman" w:cs="Times New Roman"/>
          <w:sz w:val="26"/>
          <w:szCs w:val="26"/>
        </w:rPr>
        <w:t xml:space="preserve">Власти субъектов РФ могут оказывать содействие обманутым дольщикам: помогать в завершении строительства проблемного дома, выделять из регионального бюджета денежные компенсации пострадавшим дольщикам, осуществлять поиск </w:t>
      </w:r>
      <w:proofErr w:type="spellStart"/>
      <w:r w:rsidRPr="001806C6">
        <w:rPr>
          <w:rFonts w:ascii="Times New Roman" w:hAnsi="Times New Roman" w:cs="Times New Roman"/>
          <w:sz w:val="26"/>
          <w:szCs w:val="26"/>
        </w:rPr>
        <w:t>соинвесторов</w:t>
      </w:r>
      <w:proofErr w:type="spellEnd"/>
      <w:r w:rsidRPr="001806C6">
        <w:rPr>
          <w:rFonts w:ascii="Times New Roman" w:hAnsi="Times New Roman" w:cs="Times New Roman"/>
          <w:sz w:val="26"/>
          <w:szCs w:val="26"/>
        </w:rPr>
        <w:t xml:space="preserve"> для завершения строительства проблемного дома, выделять дольщикам жилье из резервного жилого фонда региона во временное пользование на время окончания строительных работ, выкупать права требования к застройщику и т.д.</w:t>
      </w:r>
      <w:proofErr w:type="gramEnd"/>
      <w:r w:rsidR="001806C6">
        <w:rPr>
          <w:rFonts w:ascii="Times New Roman" w:hAnsi="Times New Roman" w:cs="Times New Roman"/>
          <w:sz w:val="26"/>
          <w:szCs w:val="26"/>
        </w:rPr>
        <w:t xml:space="preserve"> </w:t>
      </w:r>
      <w:r w:rsidRPr="001806C6">
        <w:rPr>
          <w:rFonts w:ascii="Times New Roman" w:hAnsi="Times New Roman" w:cs="Times New Roman"/>
          <w:sz w:val="26"/>
          <w:szCs w:val="26"/>
        </w:rPr>
        <w:t>Если вы столкнулись с проблемным застройщиком, выясните, какое содействие оказывается дольщикам органами государственной власти области.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t>9. Защита прав дольщиков при банкротстве застройщика, наличии обеспечения или отчислений в Фонд защиты граждан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В случае банкротства застройщика дольщики, а также граждане, вступившие в иные правоотношения, связанные со строительством жилья (перечень которых является </w:t>
      </w:r>
      <w:r w:rsidRPr="001806C6">
        <w:rPr>
          <w:rFonts w:ascii="Times New Roman" w:hAnsi="Times New Roman" w:cs="Times New Roman"/>
          <w:sz w:val="26"/>
          <w:szCs w:val="26"/>
        </w:rPr>
        <w:lastRenderedPageBreak/>
        <w:t xml:space="preserve">открытым), вправе в зависимости от ситуации предъявить денежные требования, требования о передаче жилого помещения, требования о передаче </w:t>
      </w:r>
      <w:proofErr w:type="spellStart"/>
      <w:r w:rsidRPr="001806C6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1806C6">
        <w:rPr>
          <w:rFonts w:ascii="Times New Roman" w:hAnsi="Times New Roman" w:cs="Times New Roman"/>
          <w:sz w:val="26"/>
          <w:szCs w:val="26"/>
        </w:rPr>
        <w:t xml:space="preserve"> и нежилых помещений конкурсному управляющему в рамках дела о банкротстве.  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1806C6">
        <w:rPr>
          <w:rFonts w:ascii="Times New Roman" w:hAnsi="Times New Roman" w:cs="Times New Roman"/>
          <w:sz w:val="26"/>
          <w:szCs w:val="26"/>
        </w:rPr>
        <w:t>Следует учитывать, что в целях защиты участников строительства от злоупотреблений застройщиков, совершаемых путем иного правового оформления своих отношений по привлечению денежных средств, суд может признать застройщиком не только лицо, с которым у участников долевого строительства заключены соответствующие договоры, но и организацию, фактически аккумулирующую денежные средства, переданные для строительства многоквартирного дома, например лицо, которое является правообладателем земельного участка и объекта строительства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>, но денежные средства напрямую не привлекает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Кроме того, если застройщик признан банкротом, в отношении него открыто конкурсное производство и застройщиком до 20.10.2017 уплачены взносы в компенсационный фонд, дольщик может обратиться в Фонд защиты прав граждан - участников долевого строительства за выплатой возмещения. Нельзя требовать такого возмещения в случае получения участником долевого строительства страховой выплаты от страховщика, застраховавшего ответственность застройщика, либо выплаты от банка, выдавшего поручительство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Если ДДУ с первым дольщиком 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 xml:space="preserve"> до 20.10.2017, исполнение обязательств застройщика главным образом обеспечивается поручительством в банке или страхованием гражданской ответственности.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Так, в частности, наступление страхового случая по договору страхования подтверждают решение арбитражного суда о признании должника банкротом и об открытии конкурсного производства, а также выписка из реестра требований кредиторов или реестра требований участников строительства (реестра требований о передаче жилых помещений). Представление указанных выписок является основанием для страховой выплаты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Если ДДУ с первым участником строительства представлен на государственную регистрацию после 20.10.2017, а также если первый ДДУ заключен до указанной даты, но последующие ДДУ представлены на регистрацию с 25.12.2018, то застройщик обязан производить отчисления (взносы) в компенсационный фонд, предназначенный для выплаты дольщикам 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банкротстве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 xml:space="preserve"> застройщика возмещения в размере уплаченной цены ДДУ, за исключением предусмотренных законом случаев. Прием заявлений о выплате и выплата возмещения отнесены к ведению названного Фонда защиты прав граждан, в том числе через банки-агенты.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>При этом гражданин не имеет права на возмещение, если он приобрел право требования по ДДУ у юридического лица - участника долевого строительства после возбуждения производства по делу о банкротстве застройщика</w:t>
      </w:r>
      <w:r w:rsidR="00714DE6" w:rsidRPr="001806C6">
        <w:rPr>
          <w:rFonts w:ascii="Times New Roman" w:hAnsi="Times New Roman" w:cs="Times New Roman"/>
          <w:sz w:val="26"/>
          <w:szCs w:val="26"/>
        </w:rPr>
        <w:t>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Следует также учитывать, что лицо, в том числе </w:t>
      </w:r>
      <w:proofErr w:type="spellStart"/>
      <w:r w:rsidRPr="001806C6">
        <w:rPr>
          <w:rFonts w:ascii="Times New Roman" w:hAnsi="Times New Roman" w:cs="Times New Roman"/>
          <w:sz w:val="26"/>
          <w:szCs w:val="26"/>
        </w:rPr>
        <w:t>бенефициарный</w:t>
      </w:r>
      <w:proofErr w:type="spellEnd"/>
      <w:r w:rsidRPr="001806C6">
        <w:rPr>
          <w:rFonts w:ascii="Times New Roman" w:hAnsi="Times New Roman" w:cs="Times New Roman"/>
          <w:sz w:val="26"/>
          <w:szCs w:val="26"/>
        </w:rPr>
        <w:t xml:space="preserve"> владелец, имеющее фактическую возможность определять действия застройщика, несет субсидиарную ответственность с застройщиком за убытки, причиненные по их вине дольщикам</w:t>
      </w:r>
      <w:r w:rsidR="00714DE6" w:rsidRPr="001806C6">
        <w:rPr>
          <w:rFonts w:ascii="Times New Roman" w:hAnsi="Times New Roman" w:cs="Times New Roman"/>
          <w:sz w:val="26"/>
          <w:szCs w:val="26"/>
        </w:rPr>
        <w:t>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8F5FCE" w:rsidRPr="001806C6" w:rsidRDefault="008F5FCE">
      <w:pPr>
        <w:spacing w:after="1" w:line="220" w:lineRule="atLeast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 Защита прав дольщиков при использовании счетов </w:t>
      </w:r>
      <w:proofErr w:type="spellStart"/>
      <w:r w:rsidRPr="001806C6">
        <w:rPr>
          <w:rFonts w:ascii="Times New Roman" w:hAnsi="Times New Roman" w:cs="Times New Roman"/>
          <w:b/>
          <w:sz w:val="26"/>
          <w:szCs w:val="26"/>
        </w:rPr>
        <w:t>эскроу</w:t>
      </w:r>
      <w:proofErr w:type="spellEnd"/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Для строительства многоквартирных домов застройщики могут привлекать денежные средства граждан с использованием счетов </w:t>
      </w:r>
      <w:proofErr w:type="spellStart"/>
      <w:r w:rsidRPr="001806C6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1806C6">
        <w:rPr>
          <w:rFonts w:ascii="Times New Roman" w:hAnsi="Times New Roman" w:cs="Times New Roman"/>
          <w:sz w:val="26"/>
          <w:szCs w:val="26"/>
        </w:rPr>
        <w:t xml:space="preserve"> в уполномоченных банках. На этих счетах средства дольщиков для оплаты по ДДУ блокируются и перечисляются застройщику только после исполнения им своих обязательств по договору. Тем самым дольщикам гарантируется, что их средства не будут растрачены </w:t>
      </w:r>
      <w:proofErr w:type="gramStart"/>
      <w:r w:rsidRPr="001806C6">
        <w:rPr>
          <w:rFonts w:ascii="Times New Roman" w:hAnsi="Times New Roman" w:cs="Times New Roman"/>
          <w:sz w:val="26"/>
          <w:szCs w:val="26"/>
        </w:rPr>
        <w:t>застройщиком</w:t>
      </w:r>
      <w:proofErr w:type="gramEnd"/>
      <w:r w:rsidRPr="001806C6">
        <w:rPr>
          <w:rFonts w:ascii="Times New Roman" w:hAnsi="Times New Roman" w:cs="Times New Roman"/>
          <w:sz w:val="26"/>
          <w:szCs w:val="26"/>
        </w:rPr>
        <w:t xml:space="preserve"> и они получат свои квартиры либо им вернут деньги, если этого не произойдет</w:t>
      </w:r>
      <w:r w:rsidR="00714DE6" w:rsidRPr="001806C6">
        <w:rPr>
          <w:rFonts w:ascii="Times New Roman" w:hAnsi="Times New Roman" w:cs="Times New Roman"/>
          <w:sz w:val="26"/>
          <w:szCs w:val="26"/>
        </w:rPr>
        <w:t>.</w:t>
      </w:r>
    </w:p>
    <w:p w:rsidR="008F5FCE" w:rsidRPr="001806C6" w:rsidRDefault="008F5FCE">
      <w:pPr>
        <w:spacing w:before="220"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1806C6">
        <w:rPr>
          <w:rFonts w:ascii="Times New Roman" w:hAnsi="Times New Roman" w:cs="Times New Roman"/>
          <w:sz w:val="26"/>
          <w:szCs w:val="26"/>
        </w:rPr>
        <w:t xml:space="preserve">Денежные средства дольщиков на счетах </w:t>
      </w:r>
      <w:proofErr w:type="spellStart"/>
      <w:r w:rsidRPr="001806C6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1806C6">
        <w:rPr>
          <w:rFonts w:ascii="Times New Roman" w:hAnsi="Times New Roman" w:cs="Times New Roman"/>
          <w:sz w:val="26"/>
          <w:szCs w:val="26"/>
        </w:rPr>
        <w:t xml:space="preserve"> подлежат обязательному страхованию на случай отзыва (аннулирования) у банка лицензии на совершение банковских операций или введения Банком России моратория на удовлетворение требований кредиторов. Возмещение выплачивается в размере 100% размещенных на счете </w:t>
      </w:r>
      <w:proofErr w:type="spellStart"/>
      <w:r w:rsidRPr="001806C6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1806C6">
        <w:rPr>
          <w:rFonts w:ascii="Times New Roman" w:hAnsi="Times New Roman" w:cs="Times New Roman"/>
          <w:sz w:val="26"/>
          <w:szCs w:val="26"/>
        </w:rPr>
        <w:t xml:space="preserve"> средств, но не более 10 млн</w:t>
      </w:r>
      <w:r w:rsidR="00714DE6" w:rsidRPr="001806C6">
        <w:rPr>
          <w:rFonts w:ascii="Times New Roman" w:hAnsi="Times New Roman" w:cs="Times New Roman"/>
          <w:sz w:val="26"/>
          <w:szCs w:val="26"/>
        </w:rPr>
        <w:t>.</w:t>
      </w:r>
      <w:r w:rsidRPr="001806C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8F5FCE" w:rsidRPr="001806C6" w:rsidRDefault="008F5FC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sectPr w:rsidR="008F5FCE" w:rsidRPr="001806C6" w:rsidSect="001806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CE"/>
    <w:rsid w:val="001806C6"/>
    <w:rsid w:val="004B2491"/>
    <w:rsid w:val="00714DE6"/>
    <w:rsid w:val="008F5FCE"/>
    <w:rsid w:val="00D9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FC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FC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5FC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4CF59563F07576DFC62C69C38360F02B4A5369EC65CFFA28FD372B9E08038FF0671CC7351D99FF152E85462B3C6D62382CD181F5D51843o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cp:lastPrinted>2019-03-22T05:18:00Z</cp:lastPrinted>
  <dcterms:created xsi:type="dcterms:W3CDTF">2019-03-22T05:03:00Z</dcterms:created>
  <dcterms:modified xsi:type="dcterms:W3CDTF">2019-03-22T05:19:00Z</dcterms:modified>
</cp:coreProperties>
</file>