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B8" w:rsidRDefault="003631B8" w:rsidP="000F0AE8">
      <w:pPr>
        <w:jc w:val="center"/>
        <w:rPr>
          <w:sz w:val="28"/>
          <w:szCs w:val="28"/>
        </w:rPr>
      </w:pPr>
    </w:p>
    <w:p w:rsidR="003631B8" w:rsidRDefault="003631B8" w:rsidP="000F0AE8">
      <w:pPr>
        <w:jc w:val="center"/>
        <w:rPr>
          <w:sz w:val="28"/>
          <w:szCs w:val="28"/>
        </w:rPr>
      </w:pPr>
    </w:p>
    <w:p w:rsidR="003631B8" w:rsidRDefault="00B73F7D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ПРОЕКТ</w:t>
      </w:r>
    </w:p>
    <w:p w:rsidR="000F0AE8" w:rsidRPr="00B47CB0" w:rsidRDefault="000F0AE8" w:rsidP="000F0AE8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0F0A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0640F9"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0640F9" w:rsidRDefault="000F0AE8" w:rsidP="000F0AE8">
      <w:pPr>
        <w:pStyle w:val="1"/>
        <w:rPr>
          <w:b w:val="0"/>
          <w:sz w:val="28"/>
          <w:szCs w:val="28"/>
        </w:rPr>
      </w:pPr>
      <w:r w:rsidRPr="000640F9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B73F7D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B73F7D">
        <w:rPr>
          <w:sz w:val="28"/>
          <w:szCs w:val="28"/>
        </w:rPr>
        <w:t>______</w:t>
      </w:r>
    </w:p>
    <w:p w:rsidR="000F0AE8" w:rsidRPr="00C502E8" w:rsidRDefault="000F0AE8" w:rsidP="000F0AE8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1D696A" w:rsidRDefault="001D696A" w:rsidP="003D1025">
      <w:pPr>
        <w:tabs>
          <w:tab w:val="clear" w:pos="720"/>
        </w:tabs>
        <w:ind w:firstLine="567"/>
        <w:rPr>
          <w:sz w:val="28"/>
          <w:szCs w:val="28"/>
        </w:rPr>
      </w:pPr>
    </w:p>
    <w:p w:rsidR="001D696A" w:rsidRDefault="001D696A" w:rsidP="001D6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58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D696A" w:rsidRPr="006E580B" w:rsidRDefault="001D696A" w:rsidP="001D6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дотаций бюджетам поселений (образованных за счет собственных доходов 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E58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распределения дотаций бюджетам поселений</w:t>
      </w:r>
    </w:p>
    <w:p w:rsidR="001D696A" w:rsidRDefault="001D696A" w:rsidP="001D6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счет средств  областного бюджета</w:t>
      </w:r>
      <w:r w:rsidRPr="006E58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выравнивание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обеспеченности из бюджета </w:t>
      </w:r>
    </w:p>
    <w:p w:rsidR="001D696A" w:rsidRPr="00193A7E" w:rsidRDefault="001D696A" w:rsidP="001D69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3A7E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bookmarkEnd w:id="0"/>
    <w:p w:rsidR="001D696A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93A7E">
          <w:rPr>
            <w:rFonts w:ascii="Times New Roman" w:hAnsi="Times New Roman" w:cs="Times New Roman"/>
            <w:sz w:val="28"/>
            <w:szCs w:val="28"/>
          </w:rPr>
          <w:t>статьей 142.1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193A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Кем</w:t>
      </w:r>
      <w:r w:rsidR="000640F9">
        <w:rPr>
          <w:rFonts w:ascii="Times New Roman" w:hAnsi="Times New Roman" w:cs="Times New Roman"/>
          <w:sz w:val="28"/>
          <w:szCs w:val="28"/>
        </w:rPr>
        <w:t>еровской области от 24.11.2005 №</w:t>
      </w:r>
      <w:r w:rsidRPr="006E580B">
        <w:rPr>
          <w:rFonts w:ascii="Times New Roman" w:hAnsi="Times New Roman" w:cs="Times New Roman"/>
          <w:sz w:val="28"/>
          <w:szCs w:val="28"/>
        </w:rPr>
        <w:t xml:space="preserve"> 134-ОЗ </w:t>
      </w:r>
      <w:r w:rsidR="000640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580B">
        <w:rPr>
          <w:rFonts w:ascii="Times New Roman" w:hAnsi="Times New Roman" w:cs="Times New Roman"/>
          <w:sz w:val="28"/>
          <w:szCs w:val="28"/>
        </w:rPr>
        <w:t>О межбюджетных отношениях в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80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93A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3A7E">
        <w:rPr>
          <w:rFonts w:ascii="Times New Roman" w:hAnsi="Times New Roman" w:cs="Times New Roman"/>
          <w:sz w:val="28"/>
          <w:szCs w:val="28"/>
        </w:rPr>
        <w:t xml:space="preserve"> 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E580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640F9" w:rsidRDefault="000640F9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Default="001D696A" w:rsidP="00064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E580B">
        <w:rPr>
          <w:rFonts w:ascii="Times New Roman" w:hAnsi="Times New Roman" w:cs="Times New Roman"/>
          <w:sz w:val="28"/>
          <w:szCs w:val="28"/>
        </w:rPr>
        <w:t>:</w:t>
      </w:r>
    </w:p>
    <w:p w:rsidR="000640F9" w:rsidRPr="006E580B" w:rsidRDefault="000640F9" w:rsidP="00064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Pr="006E580B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41" w:history="1">
        <w:r w:rsidR="000640F9">
          <w:rPr>
            <w:rFonts w:ascii="Times New Roman" w:hAnsi="Times New Roman" w:cs="Times New Roman"/>
            <w:sz w:val="28"/>
            <w:szCs w:val="28"/>
          </w:rPr>
          <w:t>м</w:t>
        </w:r>
        <w:r w:rsidRPr="00193A7E">
          <w:rPr>
            <w:rFonts w:ascii="Times New Roman" w:hAnsi="Times New Roman" w:cs="Times New Roman"/>
            <w:sz w:val="28"/>
            <w:szCs w:val="28"/>
          </w:rPr>
          <w:t>етодику</w:t>
        </w:r>
      </w:hyperlink>
      <w:r w:rsidRPr="00193A7E">
        <w:rPr>
          <w:rFonts w:ascii="Times New Roman" w:hAnsi="Times New Roman" w:cs="Times New Roman"/>
          <w:sz w:val="28"/>
          <w:szCs w:val="28"/>
        </w:rPr>
        <w:t xml:space="preserve"> </w:t>
      </w:r>
      <w:r w:rsidRPr="006E580B">
        <w:rPr>
          <w:rFonts w:ascii="Times New Roman" w:hAnsi="Times New Roman" w:cs="Times New Roman"/>
          <w:sz w:val="28"/>
          <w:szCs w:val="28"/>
        </w:rPr>
        <w:t xml:space="preserve">расчета и предоставления дотаций бюджетам поселений (образованных за счет собственных доходов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D696A" w:rsidRPr="006E580B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169" w:history="1">
        <w:r w:rsidR="000640F9">
          <w:rPr>
            <w:rFonts w:ascii="Times New Roman" w:hAnsi="Times New Roman" w:cs="Times New Roman"/>
            <w:sz w:val="28"/>
            <w:szCs w:val="28"/>
          </w:rPr>
          <w:t>м</w:t>
        </w:r>
        <w:r w:rsidRPr="00193A7E">
          <w:rPr>
            <w:rFonts w:ascii="Times New Roman" w:hAnsi="Times New Roman" w:cs="Times New Roman"/>
            <w:sz w:val="28"/>
            <w:szCs w:val="28"/>
          </w:rPr>
          <w:t>етодику</w:t>
        </w:r>
      </w:hyperlink>
      <w:r w:rsidRPr="00193A7E">
        <w:rPr>
          <w:rFonts w:ascii="Times New Roman" w:hAnsi="Times New Roman" w:cs="Times New Roman"/>
          <w:sz w:val="28"/>
          <w:szCs w:val="28"/>
        </w:rPr>
        <w:t xml:space="preserve"> </w:t>
      </w:r>
      <w:r w:rsidRPr="006E580B">
        <w:rPr>
          <w:rFonts w:ascii="Times New Roman" w:hAnsi="Times New Roman" w:cs="Times New Roman"/>
          <w:sz w:val="28"/>
          <w:szCs w:val="28"/>
        </w:rPr>
        <w:t xml:space="preserve">распределения дотаций бюджетам поселений (за счет средств областного бюджета)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D696A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4A3BE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580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580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и методики распределения дотации на выравнивание бюджетной обеспеченности поселений»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6E580B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AA64B3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Default="001D696A" w:rsidP="00AA64B3">
      <w:pPr>
        <w:tabs>
          <w:tab w:val="clear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D1025">
        <w:rPr>
          <w:sz w:val="28"/>
          <w:szCs w:val="28"/>
        </w:rPr>
        <w:t>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3D1025" w:rsidRPr="0037202F" w:rsidRDefault="001D696A" w:rsidP="003D102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37202F">
        <w:rPr>
          <w:rFonts w:ascii="Times New Roman" w:hAnsi="Times New Roman"/>
          <w:sz w:val="28"/>
          <w:szCs w:val="28"/>
        </w:rPr>
        <w:t>. Конт</w:t>
      </w:r>
      <w:r w:rsidR="003D1025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D1025">
        <w:rPr>
          <w:rFonts w:ascii="Times New Roman" w:hAnsi="Times New Roman"/>
          <w:sz w:val="28"/>
          <w:szCs w:val="28"/>
        </w:rPr>
        <w:t>я возложить на комиссию по  вопросам бюджета, налоговой политики и финансам           (Г.А. Дианова).</w:t>
      </w:r>
    </w:p>
    <w:tbl>
      <w:tblPr>
        <w:tblW w:w="9464" w:type="dxa"/>
        <w:tblLook w:val="01E0"/>
      </w:tblPr>
      <w:tblGrid>
        <w:gridCol w:w="5882"/>
        <w:gridCol w:w="3582"/>
      </w:tblGrid>
      <w:tr w:rsidR="003D1025" w:rsidRPr="007525BA" w:rsidTr="00C1514D">
        <w:tc>
          <w:tcPr>
            <w:tcW w:w="5882" w:type="dxa"/>
          </w:tcPr>
          <w:p w:rsidR="001D696A" w:rsidRDefault="001D696A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96A" w:rsidRDefault="001D696A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A64B3" w:rsidRDefault="00AA64B3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025" w:rsidRPr="007525BA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D1025" w:rsidRPr="007525BA" w:rsidRDefault="003D1025" w:rsidP="00BB2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025" w:rsidRPr="007525BA" w:rsidTr="00C1514D">
        <w:trPr>
          <w:trHeight w:val="1423"/>
        </w:trPr>
        <w:tc>
          <w:tcPr>
            <w:tcW w:w="5882" w:type="dxa"/>
          </w:tcPr>
          <w:p w:rsidR="003D1025" w:rsidRPr="007525BA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3D1025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025" w:rsidRDefault="001D696A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D1025">
              <w:rPr>
                <w:sz w:val="28"/>
                <w:szCs w:val="28"/>
              </w:rPr>
              <w:t>Т.П. Мотрий</w:t>
            </w:r>
          </w:p>
          <w:p w:rsidR="003D1025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025" w:rsidRPr="007525BA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1025" w:rsidRPr="007525BA" w:rsidTr="00C1514D">
        <w:tc>
          <w:tcPr>
            <w:tcW w:w="5882" w:type="dxa"/>
          </w:tcPr>
          <w:p w:rsidR="003D1025" w:rsidRPr="007525BA" w:rsidRDefault="00BB25F8" w:rsidP="004C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3D10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3D1025" w:rsidRPr="007525BA" w:rsidRDefault="003D1025" w:rsidP="004C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1025" w:rsidRPr="007525BA" w:rsidTr="00C1514D">
        <w:tc>
          <w:tcPr>
            <w:tcW w:w="5882" w:type="dxa"/>
          </w:tcPr>
          <w:p w:rsidR="003D1025" w:rsidRPr="007525BA" w:rsidRDefault="003D1025" w:rsidP="004C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3D1025" w:rsidRPr="007525BA" w:rsidRDefault="00BB25F8" w:rsidP="004C39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D1025" w:rsidRDefault="003D1025" w:rsidP="00BB25F8"/>
    <w:p w:rsidR="003D1025" w:rsidRDefault="003D1025" w:rsidP="003D1025"/>
    <w:p w:rsidR="003D1025" w:rsidRDefault="003D1025" w:rsidP="003D1025">
      <w:pPr>
        <w:tabs>
          <w:tab w:val="clear" w:pos="720"/>
        </w:tabs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3D1025" w:rsidRPr="003D1025" w:rsidRDefault="003D1025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D1025" w:rsidRDefault="003D1025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D1025" w:rsidRDefault="003D1025" w:rsidP="003631B8">
      <w:pPr>
        <w:tabs>
          <w:tab w:val="clear" w:pos="720"/>
        </w:tabs>
        <w:rPr>
          <w:b/>
          <w:sz w:val="28"/>
          <w:szCs w:val="28"/>
        </w:rPr>
      </w:pPr>
    </w:p>
    <w:p w:rsidR="003631B8" w:rsidRDefault="003631B8" w:rsidP="003631B8">
      <w:pPr>
        <w:tabs>
          <w:tab w:val="clear" w:pos="720"/>
        </w:tabs>
        <w:rPr>
          <w:b/>
          <w:sz w:val="28"/>
          <w:szCs w:val="28"/>
        </w:rPr>
      </w:pPr>
    </w:p>
    <w:p w:rsidR="003D1025" w:rsidRDefault="003D1025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EC64C9" w:rsidP="00AA64B3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>
        <w:rPr>
          <w:sz w:val="28"/>
          <w:szCs w:val="28"/>
        </w:rPr>
        <w:br/>
      </w:r>
      <w:r w:rsidR="00AA64B3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="00AA64B3" w:rsidRPr="00AB2CBB">
        <w:rPr>
          <w:sz w:val="28"/>
          <w:szCs w:val="28"/>
        </w:rPr>
        <w:t xml:space="preserve"> </w:t>
      </w:r>
      <w:r w:rsidR="00AA64B3" w:rsidRPr="00AB2CBB">
        <w:rPr>
          <w:sz w:val="28"/>
          <w:szCs w:val="28"/>
        </w:rPr>
        <w:br/>
        <w:t>Совета народных</w:t>
      </w:r>
      <w:r w:rsidR="00AA64B3" w:rsidRPr="00A530C4">
        <w:t xml:space="preserve"> </w:t>
      </w:r>
      <w:r w:rsidR="00AA64B3" w:rsidRPr="00A530C4">
        <w:rPr>
          <w:sz w:val="28"/>
          <w:szCs w:val="28"/>
        </w:rPr>
        <w:t>депутатов</w:t>
      </w:r>
      <w:r w:rsidR="00AA64B3">
        <w:t xml:space="preserve"> </w:t>
      </w:r>
      <w:r w:rsidR="00AA64B3" w:rsidRPr="00A530C4">
        <w:rPr>
          <w:sz w:val="28"/>
          <w:szCs w:val="28"/>
        </w:rPr>
        <w:t>Промышленновского муниципального района</w:t>
      </w:r>
      <w:r w:rsidR="00AA64B3" w:rsidRPr="00AB2CBB">
        <w:rPr>
          <w:sz w:val="28"/>
          <w:szCs w:val="28"/>
        </w:rPr>
        <w:t xml:space="preserve"> </w:t>
      </w:r>
    </w:p>
    <w:p w:rsidR="00AA64B3" w:rsidRDefault="00AA64B3" w:rsidP="00AA64B3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 w:rsidR="00B73F7D">
        <w:rPr>
          <w:sz w:val="28"/>
          <w:szCs w:val="28"/>
        </w:rPr>
        <w:t>______</w:t>
      </w:r>
      <w:r w:rsidRPr="00AB2CB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 w:rsidR="00B73F7D">
        <w:rPr>
          <w:sz w:val="28"/>
          <w:szCs w:val="28"/>
        </w:rPr>
        <w:t>_____</w:t>
      </w:r>
    </w:p>
    <w:p w:rsidR="00AA64B3" w:rsidRDefault="00AA64B3" w:rsidP="00AA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«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методики расчета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и 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дотаций бюджетам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поселений (образованных за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End"/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собственных доходов Промышленновского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района) и методики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распределения дотаций бюджетам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>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(за счет средств  областного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бюджета) на  выравнивание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Pr="006A79D2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обеспеченности из бюджета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Промышленновского </w:t>
      </w:r>
    </w:p>
    <w:p w:rsidR="00AA64B3" w:rsidRPr="006A79D2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64B3" w:rsidRPr="00AB2CBB" w:rsidRDefault="00AA64B3" w:rsidP="00AA64B3">
      <w:pPr>
        <w:ind w:left="4962"/>
        <w:jc w:val="center"/>
        <w:rPr>
          <w:sz w:val="28"/>
          <w:szCs w:val="28"/>
        </w:rPr>
      </w:pPr>
    </w:p>
    <w:p w:rsidR="00AA64B3" w:rsidRDefault="00AA64B3" w:rsidP="00AA64B3">
      <w:pPr>
        <w:jc w:val="center"/>
        <w:outlineLvl w:val="1"/>
        <w:rPr>
          <w:b/>
          <w:bCs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1"/>
    <w:bookmarkEnd w:id="1"/>
    <w:p w:rsidR="00AA64B3" w:rsidRDefault="00E64ECF" w:rsidP="00AA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7E">
        <w:rPr>
          <w:rFonts w:ascii="Times New Roman" w:hAnsi="Times New Roman" w:cs="Times New Roman"/>
          <w:sz w:val="28"/>
          <w:szCs w:val="28"/>
        </w:rPr>
        <w:fldChar w:fldCharType="begin"/>
      </w:r>
      <w:r w:rsidR="00AA64B3" w:rsidRPr="00193A7E">
        <w:rPr>
          <w:rFonts w:ascii="Times New Roman" w:hAnsi="Times New Roman" w:cs="Times New Roman"/>
          <w:sz w:val="28"/>
          <w:szCs w:val="28"/>
        </w:rPr>
        <w:instrText xml:space="preserve"> HYPERLINK \l "P41" </w:instrText>
      </w:r>
      <w:r w:rsidRPr="00193A7E">
        <w:rPr>
          <w:rFonts w:ascii="Times New Roman" w:hAnsi="Times New Roman" w:cs="Times New Roman"/>
          <w:sz w:val="28"/>
          <w:szCs w:val="28"/>
        </w:rPr>
        <w:fldChar w:fldCharType="separate"/>
      </w:r>
      <w:r w:rsidR="00AA64B3" w:rsidRPr="00193A7E">
        <w:rPr>
          <w:rFonts w:ascii="Times New Roman" w:hAnsi="Times New Roman" w:cs="Times New Roman"/>
          <w:sz w:val="28"/>
          <w:szCs w:val="28"/>
        </w:rPr>
        <w:t>Методик</w:t>
      </w:r>
      <w:r w:rsidRPr="00193A7E">
        <w:rPr>
          <w:rFonts w:ascii="Times New Roman" w:hAnsi="Times New Roman" w:cs="Times New Roman"/>
          <w:sz w:val="28"/>
          <w:szCs w:val="28"/>
        </w:rPr>
        <w:fldChar w:fldCharType="end"/>
      </w:r>
      <w:r w:rsidR="00AA64B3">
        <w:rPr>
          <w:rFonts w:ascii="Times New Roman" w:hAnsi="Times New Roman" w:cs="Times New Roman"/>
          <w:sz w:val="28"/>
          <w:szCs w:val="28"/>
        </w:rPr>
        <w:t>а</w:t>
      </w:r>
    </w:p>
    <w:p w:rsidR="00AA64B3" w:rsidRPr="006E580B" w:rsidRDefault="00AA64B3" w:rsidP="00AA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7E">
        <w:rPr>
          <w:rFonts w:ascii="Times New Roman" w:hAnsi="Times New Roman" w:cs="Times New Roman"/>
          <w:sz w:val="28"/>
          <w:szCs w:val="28"/>
        </w:rPr>
        <w:t xml:space="preserve"> </w:t>
      </w:r>
      <w:r w:rsidRPr="006E580B">
        <w:rPr>
          <w:rFonts w:ascii="Times New Roman" w:hAnsi="Times New Roman" w:cs="Times New Roman"/>
          <w:sz w:val="28"/>
          <w:szCs w:val="28"/>
        </w:rPr>
        <w:t xml:space="preserve">расчета и предоставления дотаций бюджетам поселений (образованных за счет собственных доходов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64B3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4B3" w:rsidRPr="009E6C16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1. </w:t>
      </w:r>
      <w:r w:rsidRPr="009E6C1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Методика расчета и предоставления дотаций бюджетам поселений (образованных за счет собственных доходов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Методика) включает следующие этапы: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1) расчет бюджетной обеспеченности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2) расчет распределения дотаций на выравнивание бюджетной обеспеченности поселений.</w:t>
      </w:r>
    </w:p>
    <w:p w:rsidR="00AA64B3" w:rsidRPr="006E580B" w:rsidRDefault="00AA64B3" w:rsidP="00363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2. </w:t>
      </w:r>
      <w:r w:rsidRPr="009E6C16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определения, используемые в Методике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Бюджетная обеспеченность поселения - отношение индекса доходного потенциала к индексу бюджетных расходов поселения.</w:t>
      </w:r>
    </w:p>
    <w:p w:rsidR="003631B8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</w:t>
      </w:r>
      <w:r w:rsidR="003631B8">
        <w:rPr>
          <w:rFonts w:ascii="Times New Roman" w:hAnsi="Times New Roman" w:cs="Times New Roman"/>
          <w:sz w:val="28"/>
          <w:szCs w:val="28"/>
        </w:rPr>
        <w:t xml:space="preserve">   </w:t>
      </w:r>
      <w:r w:rsidRPr="006E580B">
        <w:rPr>
          <w:rFonts w:ascii="Times New Roman" w:hAnsi="Times New Roman" w:cs="Times New Roman"/>
          <w:sz w:val="28"/>
          <w:szCs w:val="28"/>
        </w:rPr>
        <w:t xml:space="preserve"> доходного потенциала </w:t>
      </w:r>
      <w:r w:rsidR="003631B8">
        <w:rPr>
          <w:rFonts w:ascii="Times New Roman" w:hAnsi="Times New Roman" w:cs="Times New Roman"/>
          <w:sz w:val="28"/>
          <w:szCs w:val="28"/>
        </w:rPr>
        <w:t xml:space="preserve">  </w:t>
      </w:r>
      <w:r w:rsidRPr="006E580B">
        <w:rPr>
          <w:rFonts w:ascii="Times New Roman" w:hAnsi="Times New Roman" w:cs="Times New Roman"/>
          <w:sz w:val="28"/>
          <w:szCs w:val="28"/>
        </w:rPr>
        <w:t xml:space="preserve">поселения - </w:t>
      </w:r>
      <w:r w:rsidR="003631B8">
        <w:rPr>
          <w:rFonts w:ascii="Times New Roman" w:hAnsi="Times New Roman" w:cs="Times New Roman"/>
          <w:sz w:val="28"/>
          <w:szCs w:val="28"/>
        </w:rPr>
        <w:t xml:space="preserve">  </w:t>
      </w:r>
      <w:r w:rsidRPr="006E580B">
        <w:rPr>
          <w:rFonts w:ascii="Times New Roman" w:hAnsi="Times New Roman" w:cs="Times New Roman"/>
          <w:sz w:val="28"/>
          <w:szCs w:val="28"/>
        </w:rPr>
        <w:t xml:space="preserve">отношение доходного </w:t>
      </w: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36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потенциала поселения 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в расчете на одного жителя к аналогичному показателю в среднем по поселениям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Доходный потенциал поселения - оценка доходов, которые могут быть получены бюджетом поселения исходя из уровня развития и структуры экономики и (или) налоговой базы из налоговых источников, закрепленных в репрезентативной системе налогов и дотаций в бюджеты поселений, предоставляемых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субвенций из областного фонда компенсаций.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80B">
        <w:rPr>
          <w:rFonts w:ascii="Times New Roman" w:hAnsi="Times New Roman" w:cs="Times New Roman"/>
          <w:sz w:val="28"/>
          <w:szCs w:val="28"/>
        </w:rPr>
        <w:t xml:space="preserve">Индекс бюджетных расходов поселения - показатель, определяющий, насколько больше (меньше) средств бюджета поселения в расчете на душу населения по сравнению со средним по всем поселениям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социально-демографического состава обслуживаемого населения и иных объективных факторов, влияющих на стоимость предоставляемых муниципальных услуг в расчете на одного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жителя.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3. </w:t>
      </w:r>
      <w:r w:rsidRPr="009E6C16">
        <w:rPr>
          <w:rFonts w:ascii="Times New Roman" w:hAnsi="Times New Roman" w:cs="Times New Roman"/>
          <w:b/>
          <w:sz w:val="28"/>
          <w:szCs w:val="28"/>
        </w:rPr>
        <w:t>Расчет бюджетной обеспеченности поселения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3.1. Бюджетная обеспеченность поселения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ИБР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бюджетная обеспеченность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доходного потенциала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ИБР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3.2. Расчет индекса доходного потенциала поселения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 доходного потенциала поселения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(ДП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Н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) / (ДП / Н),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доходного потенциала j-го поселения;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доходный потенциал j-го поселения;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 на 1 января текущего финансового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ДП - суммарный доходный потенциал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текущего финансового года.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Расчет доходного потенциала поселения производится по репрезентативной системе налогов в разрезе отдельных видов налогов, исходя из показателей уровня экономического развития поселения, прогноза </w:t>
      </w:r>
    </w:p>
    <w:p w:rsidR="00AA64B3" w:rsidRPr="006E580B" w:rsidRDefault="00AA64B3" w:rsidP="00363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поступлений данного налога с территории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норматива отчислений от данного налога в бюджеты поселений, субсидий из бюджетов поселений в областной бюджет и дотаций в бюджеты поселений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субвенций из областного бюджета.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Репрезентативная система налогов включает основные налоги, зачисляемые в бюджеты поселений, и отражает доходные возможности, которые учитываются при распределении финансовых сре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амках межбюджетного регулирования. Налоговые и неналоговые доходы, не входящие в репрезентативную систему, не учитываются при определении размера дотаций, передаваемых поселениям.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Состав репрезентативной системы налогов, перечень экономических показателей, характеризующих налоговый потенциал поселений по видам налогов, утверждается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6E580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Доходный потенциал поселения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81200" cy="285750"/>
            <wp:effectExtent l="19050" t="0" r="0" b="0"/>
            <wp:docPr id="3" name="Рисунок 1" descr="base_23836_80730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36_80730_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ДП - доходный потенциал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 (суммирование производится по всем налогам, входящим в репрезентативную систему налогов);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субвенция из бюджета j-го поселения в планируемом году;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расчетный размер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субвенции из областного бюджета в планируемом году.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Налоговый потенциал поселения по отдельному налогу рассчитывается по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Pr="00BB25F8" w:rsidRDefault="00AA64B3" w:rsidP="003631B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80B">
        <w:rPr>
          <w:rFonts w:ascii="Times New Roman" w:hAnsi="Times New Roman" w:cs="Times New Roman"/>
          <w:sz w:val="28"/>
          <w:szCs w:val="28"/>
        </w:rPr>
        <w:t>НП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E580B">
        <w:rPr>
          <w:rFonts w:ascii="Times New Roman" w:hAnsi="Times New Roman" w:cs="Times New Roman"/>
          <w:sz w:val="28"/>
          <w:szCs w:val="28"/>
        </w:rPr>
        <w:t>ПД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6E580B">
        <w:rPr>
          <w:rFonts w:ascii="Times New Roman" w:hAnsi="Times New Roman" w:cs="Times New Roman"/>
          <w:sz w:val="28"/>
          <w:szCs w:val="28"/>
        </w:rPr>
        <w:t>Норм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6E580B">
        <w:rPr>
          <w:rFonts w:ascii="Times New Roman" w:hAnsi="Times New Roman" w:cs="Times New Roman"/>
          <w:sz w:val="28"/>
          <w:szCs w:val="28"/>
        </w:rPr>
        <w:t>БН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580B">
        <w:rPr>
          <w:rFonts w:ascii="Times New Roman" w:hAnsi="Times New Roman" w:cs="Times New Roman"/>
          <w:sz w:val="28"/>
          <w:szCs w:val="28"/>
        </w:rPr>
        <w:t>БН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3631B8" w:rsidRPr="00363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64B3" w:rsidRPr="003631B8" w:rsidRDefault="00AA64B3" w:rsidP="003631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</w:t>
      </w:r>
      <w:r w:rsidRPr="00BB25F8">
        <w:rPr>
          <w:rFonts w:ascii="Times New Roman" w:hAnsi="Times New Roman" w:cs="Times New Roman"/>
          <w:sz w:val="28"/>
          <w:szCs w:val="28"/>
        </w:rPr>
        <w:t>:</w:t>
      </w:r>
    </w:p>
    <w:p w:rsidR="00AA64B3" w:rsidRDefault="00AA64B3" w:rsidP="00363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налогу;</w:t>
      </w: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Pr="006E580B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прогноз поступлений i-го налога в консолидированный бюджет Кемеровской области с территории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в планируемом году;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Норм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единый норматив отчислений в бюджеты поселений от i-го налога в соответствии с требованиями Бюджетного </w:t>
      </w:r>
      <w:hyperlink r:id="rId12" w:history="1">
        <w:r w:rsidRPr="0025435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580B">
        <w:rPr>
          <w:rFonts w:ascii="Times New Roman" w:hAnsi="Times New Roman" w:cs="Times New Roman"/>
          <w:sz w:val="28"/>
          <w:szCs w:val="28"/>
        </w:rPr>
        <w:t xml:space="preserve">ешения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36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база налогообложения (экономический показатель, характеризующий налоговый потенциал)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 в последнем отчетном году;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суммарная база налогообложения (экономический показатель, характеризующий налоговый потенциал) всех поселений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 в последнем отчетном году.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Рассчитанные оценки доходного потенциала не являются планируемыми или рекомендуемыми показателями доходов бюджетов поселений и используются только для расчета индекса доходного потенциала и сопоставления бюджетной обеспеченности в целях межбюджетного регулирования.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3.3. Расчет индекса бюджетных расходов поселений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Для оценки относительных различий в расходных обязательствах поселений используется репрезентативная система расходов, которая включает основные виды расходов, связанных с решением вопросов местного значения поселений.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Перечень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E580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 бюджетных расходов поселений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66850" cy="285750"/>
            <wp:effectExtent l="19050" t="0" r="0" b="0"/>
            <wp:docPr id="2" name="Рисунок 2" descr="base_23836_8073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36_80730_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67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доля i-го вида расходов в составе репрезентативной системы расходов в планируемом году по всем поселениям, входящим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 репрезентативной системы расходов.</w:t>
      </w:r>
    </w:p>
    <w:p w:rsidR="00671528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Для оценки относительных различий в расходных потребностях численность потребителей бюджетных услуг каждого поселения по видам </w:t>
      </w: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расходов репрезентативной системы расходов корректируется на коэффициенты, отражающие социально-экономические, географические и иные объективные факторы, влияющие на стоимость предоставления одного и того же объема муниципальных услуг в расчете на одного жителя.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 бюджетных расходов поселения по отдельному виду расходов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ИБРji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Пji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* К1ji *...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) / (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* К1i *...* </w:t>
      </w: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),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Default="00AA64B3" w:rsidP="0067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потребителей бюджетных услуг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расходов, входящему в состав репрезентативной системы расходов, на 1 января текущего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потребителей бюджетных услуг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Кni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коэффициенты удорожания стоимости предоставления муниципальных услуг, отражающие факторы, влияющие на стоимость предоставляемых муниципальных услуг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 репрезентативной системы расходов в расчете на одного жителя в j-м поселении;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К1i *... * </w:t>
      </w: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коэффициенты удорожания стоимости предоставления муниципальных услуг, отражающие факторы, влияющие на стоимость предоставляемых муниципальных услуг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 в расчете на одного жителя 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поселения, входящего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на 1 января текущего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на 1 января текущего года.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Рассчитанные оценки индекса бюджетных расходов не являются планируемыми или рекомендуемыми показателями, определяющими расходы бюджетов поселений, и используются только для расчета бюджетной обеспеченности в целях межбюджетного регулирования.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9E6C16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4. </w:t>
      </w:r>
      <w:r w:rsidRPr="009E6C16">
        <w:rPr>
          <w:rFonts w:ascii="Times New Roman" w:hAnsi="Times New Roman" w:cs="Times New Roman"/>
          <w:b/>
          <w:sz w:val="28"/>
          <w:szCs w:val="28"/>
        </w:rPr>
        <w:t>Расчет предоставления дотаций (образованных за счет собственных доходов Промышленновского муниципального района) на выравнивание бюджетной обеспеченности поселений из бюджета Промышленновского муниципального района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распределяются между поселениями, уровень бюджетной обеспеченности которых не превышает уровня БО МАХ.</w:t>
      </w:r>
    </w:p>
    <w:p w:rsidR="00671528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Расчет размера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 на выравнивание уровня</w:t>
      </w: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 бюджетной обеспеченности поселений производится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Дотj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ОДП *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Тj</w:t>
      </w:r>
      <w:proofErr w:type="spellEnd"/>
      <w:proofErr w:type="gramStart"/>
      <w:r w:rsidRPr="006E580B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размер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поселению, в части дотации, формируемой за счет собственных доходов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ОДП - общий объем дотаций на выравнивание бюджетной обеспеченности поселений 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муниципальном районе, формируемый за счет собственных доходов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объем средств, необходимый для доведения уровня 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обеспеченности j-го поселения до уровня БО МАХ;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Т - суммарный объем средств, необходимый для доведения уровня бюджетной обеспеченности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до уровня БО МАХ;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БО МАХ - уровень бюджетной обеспеченности, выбранный в качестве уровня выравнивания и утверждаемый решением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бюджетной обеспеченности j-го поселения до уровня БО МАХ,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= (ДП / Н)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(БО МАХ -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БОj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объем средств, необходимый для доведения уровня бюджетной обеспеченности j-го поселения до уровня БО MAX;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ДП - суммарный доходный потенциал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бюджетная обеспеченность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 на 1 января текущего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на 1 января текущего года.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6" w:type="dxa"/>
        <w:tblLook w:val="01E0"/>
      </w:tblPr>
      <w:tblGrid>
        <w:gridCol w:w="14746"/>
      </w:tblGrid>
      <w:tr w:rsidR="00AA64B3" w:rsidRPr="00FA120F" w:rsidTr="009B44CE">
        <w:tc>
          <w:tcPr>
            <w:tcW w:w="10314" w:type="dxa"/>
            <w:shd w:val="clear" w:color="auto" w:fill="auto"/>
          </w:tcPr>
          <w:p w:rsidR="00AA64B3" w:rsidRPr="00FA120F" w:rsidRDefault="00AA64B3" w:rsidP="009B44CE">
            <w:pPr>
              <w:ind w:left="1701"/>
              <w:rPr>
                <w:sz w:val="28"/>
                <w:szCs w:val="28"/>
              </w:rPr>
            </w:pPr>
          </w:p>
        </w:tc>
      </w:tr>
      <w:tr w:rsidR="00AA64B3" w:rsidRPr="00FA120F" w:rsidTr="009B44CE">
        <w:tc>
          <w:tcPr>
            <w:tcW w:w="10314" w:type="dxa"/>
            <w:shd w:val="clear" w:color="auto" w:fill="auto"/>
          </w:tcPr>
          <w:p w:rsidR="00AA64B3" w:rsidRPr="00FA120F" w:rsidRDefault="00AA64B3" w:rsidP="009B44CE">
            <w:pPr>
              <w:rPr>
                <w:sz w:val="28"/>
                <w:szCs w:val="28"/>
              </w:rPr>
            </w:pPr>
          </w:p>
        </w:tc>
      </w:tr>
    </w:tbl>
    <w:p w:rsidR="00AA64B3" w:rsidRDefault="00AA64B3" w:rsidP="00AA64B3">
      <w:pPr>
        <w:spacing w:before="100" w:beforeAutospacing="1" w:after="100" w:afterAutospacing="1"/>
        <w:rPr>
          <w:sz w:val="28"/>
          <w:szCs w:val="28"/>
        </w:rPr>
      </w:pPr>
    </w:p>
    <w:p w:rsidR="00AA64B3" w:rsidRDefault="00AA64B3" w:rsidP="00AA64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64B3" w:rsidSect="003631B8">
      <w:footerReference w:type="default" r:id="rId14"/>
      <w:footerReference w:type="first" r:id="rId15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D6" w:rsidRDefault="005C39D6" w:rsidP="00AA64B3">
      <w:r>
        <w:separator/>
      </w:r>
    </w:p>
  </w:endnote>
  <w:endnote w:type="continuationSeparator" w:id="0">
    <w:p w:rsidR="005C39D6" w:rsidRDefault="005C39D6" w:rsidP="00AA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145"/>
      <w:docPartObj>
        <w:docPartGallery w:val="Page Numbers (Bottom of Page)"/>
        <w:docPartUnique/>
      </w:docPartObj>
    </w:sdtPr>
    <w:sdtContent>
      <w:p w:rsidR="003631B8" w:rsidRDefault="00E64ECF">
        <w:pPr>
          <w:pStyle w:val="ab"/>
          <w:jc w:val="right"/>
        </w:pPr>
        <w:fldSimple w:instr=" PAGE   \* MERGEFORMAT ">
          <w:r w:rsidR="00B73F7D">
            <w:rPr>
              <w:noProof/>
            </w:rPr>
            <w:t>8</w:t>
          </w:r>
        </w:fldSimple>
      </w:p>
    </w:sdtContent>
  </w:sdt>
  <w:p w:rsidR="00AA64B3" w:rsidRDefault="00AA64B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B8" w:rsidRDefault="003631B8">
    <w:pPr>
      <w:pStyle w:val="ab"/>
      <w:jc w:val="right"/>
    </w:pPr>
  </w:p>
  <w:p w:rsidR="003631B8" w:rsidRDefault="003631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D6" w:rsidRDefault="005C39D6" w:rsidP="00AA64B3">
      <w:r>
        <w:separator/>
      </w:r>
    </w:p>
  </w:footnote>
  <w:footnote w:type="continuationSeparator" w:id="0">
    <w:p w:rsidR="005C39D6" w:rsidRDefault="005C39D6" w:rsidP="00AA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670EC"/>
    <w:rsid w:val="000640F9"/>
    <w:rsid w:val="000F0AE8"/>
    <w:rsid w:val="0010453B"/>
    <w:rsid w:val="001D696A"/>
    <w:rsid w:val="00241139"/>
    <w:rsid w:val="003631B8"/>
    <w:rsid w:val="0038734C"/>
    <w:rsid w:val="003D1025"/>
    <w:rsid w:val="003D63C4"/>
    <w:rsid w:val="004C39CA"/>
    <w:rsid w:val="005C147E"/>
    <w:rsid w:val="005C39D6"/>
    <w:rsid w:val="00671528"/>
    <w:rsid w:val="00AA64B3"/>
    <w:rsid w:val="00B670EC"/>
    <w:rsid w:val="00B73F7D"/>
    <w:rsid w:val="00BB25F8"/>
    <w:rsid w:val="00C25AA2"/>
    <w:rsid w:val="00C27742"/>
    <w:rsid w:val="00C87835"/>
    <w:rsid w:val="00D1673F"/>
    <w:rsid w:val="00D4216C"/>
    <w:rsid w:val="00E22572"/>
    <w:rsid w:val="00E3184B"/>
    <w:rsid w:val="00E64ECF"/>
    <w:rsid w:val="00EC64C9"/>
    <w:rsid w:val="00E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A64B3"/>
    <w:pPr>
      <w:tabs>
        <w:tab w:val="clear" w:pos="72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6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64B3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4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2ABA12426F9B776976E6F22996B664037C5170BB4BF7E1E613915F2E48A187A4035703C601DQ5q0H" TargetMode="External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2ABA12426F9B77697706234F53763463D9F1F0BBAB62E423E6248A5ED804F3D0F6C31796BQ1qEH" TargetMode="External"/><Relationship Id="rId12" Type="http://schemas.openxmlformats.org/officeDocument/2006/relationships/hyperlink" Target="consultantplus://offline/ref=0122ABA12426F9B77697706234F53763463D9F1F0BBAB62E423E6248A5QEq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22ABA12426F9B776976E6F22996B664037C5170BB8BD7B1F613915F2E48A18Q7q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22ABA12426F9B776976E6F22996B664037C5170AB8BF7D1F613915F2E48A18Q7q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15</cp:revision>
  <cp:lastPrinted>2017-06-28T09:26:00Z</cp:lastPrinted>
  <dcterms:created xsi:type="dcterms:W3CDTF">2017-06-15T08:21:00Z</dcterms:created>
  <dcterms:modified xsi:type="dcterms:W3CDTF">2017-06-29T10:12:00Z</dcterms:modified>
</cp:coreProperties>
</file>