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79" w:rsidRPr="009400D8" w:rsidRDefault="009A2279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400D8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24766A" w:rsidRPr="009400D8" w:rsidRDefault="0024766A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400D8">
        <w:rPr>
          <w:rFonts w:cs="Arial"/>
          <w:b/>
          <w:bCs/>
          <w:kern w:val="28"/>
          <w:sz w:val="32"/>
          <w:szCs w:val="32"/>
        </w:rPr>
        <w:t>КЕМЕРОВСКАЯ ОБЛАСТЬ</w:t>
      </w:r>
    </w:p>
    <w:p w:rsidR="0024766A" w:rsidRPr="009400D8" w:rsidRDefault="0024766A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400D8">
        <w:rPr>
          <w:rFonts w:cs="Arial"/>
          <w:b/>
          <w:bCs/>
          <w:kern w:val="28"/>
          <w:sz w:val="32"/>
          <w:szCs w:val="32"/>
        </w:rPr>
        <w:t>ПРОМЫШЛЕННОВСКИЙ МУНИЦИПАЛЬНЫЙ РАЙОН</w:t>
      </w:r>
    </w:p>
    <w:p w:rsidR="009400D8" w:rsidRPr="009400D8" w:rsidRDefault="009400D8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4766A" w:rsidRPr="009400D8" w:rsidRDefault="0024766A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400D8">
        <w:rPr>
          <w:rFonts w:cs="Arial"/>
          <w:b/>
          <w:bCs/>
          <w:kern w:val="28"/>
          <w:sz w:val="32"/>
          <w:szCs w:val="32"/>
        </w:rPr>
        <w:t>ПРОМЫШЛЕННОВСКИЙ РАЙОННЫЙ СОВЕТ НАРОДНЫХ ДЕПУТАТОВ</w:t>
      </w:r>
      <w:bookmarkStart w:id="0" w:name="bookmark0"/>
      <w:r w:rsidR="009400D8" w:rsidRPr="009400D8">
        <w:rPr>
          <w:rFonts w:cs="Arial"/>
          <w:b/>
          <w:bCs/>
          <w:kern w:val="28"/>
          <w:sz w:val="32"/>
          <w:szCs w:val="32"/>
        </w:rPr>
        <w:t xml:space="preserve"> </w:t>
      </w:r>
      <w:r w:rsidRPr="009400D8">
        <w:rPr>
          <w:rFonts w:cs="Arial"/>
          <w:b/>
          <w:bCs/>
          <w:kern w:val="28"/>
          <w:sz w:val="32"/>
          <w:szCs w:val="32"/>
        </w:rPr>
        <w:t>4-й созыв. 52-е заседание</w:t>
      </w:r>
      <w:bookmarkEnd w:id="0"/>
    </w:p>
    <w:p w:rsidR="00C24784" w:rsidRPr="009400D8" w:rsidRDefault="00C24784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4766A" w:rsidRPr="009400D8" w:rsidRDefault="0024766A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400D8">
        <w:rPr>
          <w:rFonts w:cs="Arial"/>
          <w:b/>
          <w:bCs/>
          <w:kern w:val="28"/>
          <w:sz w:val="32"/>
          <w:szCs w:val="32"/>
        </w:rPr>
        <w:t>РЕШЕНИЕ</w:t>
      </w:r>
    </w:p>
    <w:p w:rsidR="0024766A" w:rsidRPr="009400D8" w:rsidRDefault="0024766A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400D8">
        <w:rPr>
          <w:rFonts w:cs="Arial"/>
          <w:b/>
          <w:bCs/>
          <w:kern w:val="28"/>
          <w:sz w:val="32"/>
          <w:szCs w:val="32"/>
        </w:rPr>
        <w:t>От 01.11.2012 г. №257</w:t>
      </w:r>
    </w:p>
    <w:p w:rsidR="009400D8" w:rsidRPr="009400D8" w:rsidRDefault="009400D8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4766A" w:rsidRPr="009400D8" w:rsidRDefault="0024766A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400D8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Промышленновского Районного Совета народных депутатов от 30.12.2011 </w:t>
      </w:r>
      <w:r w:rsidR="009400D8" w:rsidRPr="009400D8">
        <w:rPr>
          <w:rFonts w:cs="Arial"/>
          <w:b/>
          <w:bCs/>
          <w:kern w:val="28"/>
          <w:sz w:val="32"/>
          <w:szCs w:val="32"/>
        </w:rPr>
        <w:t>№</w:t>
      </w:r>
      <w:r w:rsidRPr="009400D8">
        <w:rPr>
          <w:rFonts w:cs="Arial"/>
          <w:b/>
          <w:bCs/>
          <w:kern w:val="28"/>
          <w:sz w:val="32"/>
          <w:szCs w:val="32"/>
        </w:rPr>
        <w:t xml:space="preserve">218 «Об утверждении комплексной программы развития экономики и социальной сферы Промышленновского района» в редакции решение от 17.08.2012 </w:t>
      </w:r>
      <w:r w:rsidR="009400D8" w:rsidRPr="009400D8">
        <w:rPr>
          <w:rFonts w:cs="Arial"/>
          <w:b/>
          <w:bCs/>
          <w:kern w:val="28"/>
          <w:sz w:val="32"/>
          <w:szCs w:val="32"/>
        </w:rPr>
        <w:t>№</w:t>
      </w:r>
      <w:r w:rsidRPr="009400D8">
        <w:rPr>
          <w:rFonts w:cs="Arial"/>
          <w:b/>
          <w:bCs/>
          <w:kern w:val="28"/>
          <w:sz w:val="32"/>
          <w:szCs w:val="32"/>
        </w:rPr>
        <w:t>246</w:t>
      </w:r>
    </w:p>
    <w:p w:rsidR="009400D8" w:rsidRPr="009400D8" w:rsidRDefault="009400D8" w:rsidP="009400D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4766A" w:rsidRPr="009400D8" w:rsidRDefault="0024766A" w:rsidP="009400D8">
      <w:pPr>
        <w:rPr>
          <w:rFonts w:cs="Arial"/>
        </w:rPr>
      </w:pPr>
      <w:r w:rsidRPr="009400D8">
        <w:rPr>
          <w:rFonts w:cs="Arial"/>
        </w:rPr>
        <w:t xml:space="preserve">Во исполнение указов Президента Российской Федерации </w:t>
      </w:r>
      <w:hyperlink r:id="rId5" w:history="1">
        <w:r w:rsidRPr="009400D8">
          <w:rPr>
            <w:rStyle w:val="a3"/>
            <w:rFonts w:cs="Arial"/>
          </w:rPr>
          <w:t xml:space="preserve">от 7 мая 2012 г. </w:t>
        </w:r>
        <w:r w:rsidR="009400D8" w:rsidRPr="009400D8">
          <w:rPr>
            <w:rStyle w:val="a3"/>
            <w:rFonts w:cs="Arial"/>
          </w:rPr>
          <w:t>№</w:t>
        </w:r>
        <w:r w:rsidRPr="009400D8">
          <w:rPr>
            <w:rStyle w:val="a3"/>
            <w:rFonts w:cs="Arial"/>
          </w:rPr>
          <w:t>596</w:t>
        </w:r>
      </w:hyperlink>
      <w:r w:rsidRPr="009400D8">
        <w:rPr>
          <w:rFonts w:cs="Arial"/>
        </w:rPr>
        <w:t xml:space="preserve"> «О долгосрочной государственной экономической политике», </w:t>
      </w:r>
      <w:r w:rsidR="009400D8">
        <w:rPr>
          <w:rFonts w:cs="Arial"/>
        </w:rPr>
        <w:t>№</w:t>
      </w:r>
      <w:r w:rsidRPr="009400D8">
        <w:rPr>
          <w:rFonts w:cs="Arial"/>
        </w:rPr>
        <w:t xml:space="preserve">597 «О мероприятиях по реализации государственной социальной политики», </w:t>
      </w:r>
      <w:r w:rsidR="009400D8">
        <w:rPr>
          <w:rFonts w:cs="Arial"/>
        </w:rPr>
        <w:t>№</w:t>
      </w:r>
      <w:r w:rsidRPr="009400D8">
        <w:rPr>
          <w:rFonts w:cs="Arial"/>
        </w:rPr>
        <w:t xml:space="preserve">598 «О совершенствовании государственной политики в сфере здравоохранения», </w:t>
      </w:r>
      <w:r w:rsidR="009400D8">
        <w:rPr>
          <w:rFonts w:cs="Arial"/>
        </w:rPr>
        <w:t>№</w:t>
      </w:r>
      <w:r w:rsidRPr="009400D8">
        <w:rPr>
          <w:rFonts w:cs="Arial"/>
        </w:rPr>
        <w:t xml:space="preserve">599 «О мерах по реализации государственной политики в области образования и науки», </w:t>
      </w:r>
      <w:r w:rsidR="009400D8">
        <w:rPr>
          <w:rFonts w:cs="Arial"/>
        </w:rPr>
        <w:t>№</w:t>
      </w:r>
      <w:r w:rsidRPr="009400D8">
        <w:rPr>
          <w:rFonts w:cs="Arial"/>
        </w:rPr>
        <w:t xml:space="preserve">600 «О мерах по обеспечению граждан Российской Федерации доступным и комфортным жильем и повышению качества жилищно-коммунальных услуг», </w:t>
      </w:r>
      <w:r w:rsidR="009400D8">
        <w:rPr>
          <w:rFonts w:cs="Arial"/>
        </w:rPr>
        <w:t>№</w:t>
      </w:r>
      <w:r w:rsidRPr="009400D8">
        <w:rPr>
          <w:rFonts w:cs="Arial"/>
        </w:rPr>
        <w:t xml:space="preserve">601 «Об основных направлениях совершенствования системы государственного управления», </w:t>
      </w:r>
      <w:r w:rsidR="009400D8">
        <w:rPr>
          <w:rFonts w:cs="Arial"/>
        </w:rPr>
        <w:t>№</w:t>
      </w:r>
      <w:r w:rsidRPr="009400D8">
        <w:rPr>
          <w:rFonts w:cs="Arial"/>
        </w:rPr>
        <w:t xml:space="preserve">602 «Об обеспечении межнационального согласия», </w:t>
      </w:r>
      <w:r w:rsidR="009400D8">
        <w:rPr>
          <w:rFonts w:cs="Arial"/>
        </w:rPr>
        <w:t>№</w:t>
      </w:r>
      <w:r w:rsidRPr="009400D8">
        <w:rPr>
          <w:rFonts w:cs="Arial"/>
        </w:rPr>
        <w:t xml:space="preserve">606 «О мерах по реализации демографической политики Российской Федерации», в соответствии с распоряжением Губернатора Кемеровской области </w:t>
      </w:r>
      <w:hyperlink r:id="rId6" w:tgtFrame="Logical" w:history="1">
        <w:r w:rsidRPr="009400D8">
          <w:rPr>
            <w:rStyle w:val="a3"/>
            <w:rFonts w:cs="Arial"/>
          </w:rPr>
          <w:t xml:space="preserve">от 10.09.2012г. </w:t>
        </w:r>
        <w:r w:rsidR="009400D8" w:rsidRPr="009400D8">
          <w:rPr>
            <w:rStyle w:val="a3"/>
            <w:rFonts w:cs="Arial"/>
          </w:rPr>
          <w:t>№</w:t>
        </w:r>
        <w:r w:rsidRPr="009400D8">
          <w:rPr>
            <w:rStyle w:val="a3"/>
            <w:rFonts w:cs="Arial"/>
          </w:rPr>
          <w:t>60-рг</w:t>
        </w:r>
      </w:hyperlink>
      <w:r w:rsidRPr="009400D8">
        <w:rPr>
          <w:rFonts w:cs="Arial"/>
        </w:rPr>
        <w:t xml:space="preserve">, постановлением администрация Промышленновского муниципального района </w:t>
      </w:r>
      <w:hyperlink r:id="rId7" w:history="1">
        <w:r w:rsidRPr="009400D8">
          <w:rPr>
            <w:rStyle w:val="a3"/>
            <w:rFonts w:cs="Arial"/>
          </w:rPr>
          <w:t xml:space="preserve">от 02.10.2012 </w:t>
        </w:r>
        <w:r w:rsidR="009400D8" w:rsidRPr="009400D8">
          <w:rPr>
            <w:rStyle w:val="a3"/>
            <w:rFonts w:cs="Arial"/>
          </w:rPr>
          <w:t>№</w:t>
        </w:r>
        <w:r w:rsidRPr="009400D8">
          <w:rPr>
            <w:rStyle w:val="a3"/>
            <w:rFonts w:cs="Arial"/>
          </w:rPr>
          <w:t>15-18-П</w:t>
        </w:r>
      </w:hyperlink>
      <w:r w:rsidRPr="009400D8">
        <w:rPr>
          <w:rFonts w:cs="Arial"/>
        </w:rPr>
        <w:t xml:space="preserve"> «Об исполнении отдельных указов Президента Российской Федерации В.В. Путина в Промышленновском районе»</w:t>
      </w:r>
    </w:p>
    <w:p w:rsidR="0024766A" w:rsidRPr="009400D8" w:rsidRDefault="0024766A" w:rsidP="009400D8">
      <w:pPr>
        <w:rPr>
          <w:rFonts w:cs="Arial"/>
        </w:rPr>
      </w:pPr>
      <w:r w:rsidRPr="009400D8">
        <w:rPr>
          <w:rFonts w:cs="Arial"/>
        </w:rPr>
        <w:t>РЕШИЛ:</w:t>
      </w:r>
    </w:p>
    <w:p w:rsidR="0024766A" w:rsidRPr="009400D8" w:rsidRDefault="009400D8" w:rsidP="009400D8">
      <w:pPr>
        <w:rPr>
          <w:rFonts w:cs="Arial"/>
        </w:rPr>
      </w:pPr>
      <w:r>
        <w:rPr>
          <w:rFonts w:cs="Arial"/>
        </w:rPr>
        <w:t xml:space="preserve">1. </w:t>
      </w:r>
      <w:r w:rsidR="0024766A" w:rsidRPr="009400D8">
        <w:rPr>
          <w:rFonts w:cs="Arial"/>
        </w:rPr>
        <w:t xml:space="preserve">Внести в решение Промышленновского Районного Совета народных депутатов </w:t>
      </w:r>
      <w:hyperlink r:id="rId8" w:tgtFrame="ChangingDocument" w:history="1">
        <w:r w:rsidR="0024766A" w:rsidRPr="009400D8">
          <w:rPr>
            <w:rStyle w:val="a3"/>
            <w:rFonts w:cs="Arial"/>
          </w:rPr>
          <w:t xml:space="preserve">от 30.12.2011 </w:t>
        </w:r>
        <w:r w:rsidRPr="009400D8">
          <w:rPr>
            <w:rStyle w:val="a3"/>
            <w:rFonts w:cs="Arial"/>
          </w:rPr>
          <w:t>№</w:t>
        </w:r>
        <w:r w:rsidR="0024766A" w:rsidRPr="009400D8">
          <w:rPr>
            <w:rStyle w:val="a3"/>
            <w:rFonts w:cs="Arial"/>
          </w:rPr>
          <w:t>218</w:t>
        </w:r>
      </w:hyperlink>
      <w:r w:rsidR="0024766A" w:rsidRPr="009400D8">
        <w:rPr>
          <w:rFonts w:cs="Arial"/>
        </w:rPr>
        <w:t xml:space="preserve"> «Об утверждении комплексной программы развития экономики и социальной сферы Промышленновского района» в редакции решение </w:t>
      </w:r>
      <w:hyperlink r:id="rId9" w:tgtFrame="ChangingDocument" w:history="1">
        <w:r w:rsidR="0024766A" w:rsidRPr="009400D8">
          <w:rPr>
            <w:rStyle w:val="a3"/>
            <w:rFonts w:cs="Arial"/>
          </w:rPr>
          <w:t xml:space="preserve">от 17.08.2012 </w:t>
        </w:r>
        <w:r w:rsidRPr="009400D8">
          <w:rPr>
            <w:rStyle w:val="a3"/>
            <w:rFonts w:cs="Arial"/>
          </w:rPr>
          <w:t>№</w:t>
        </w:r>
        <w:r w:rsidR="0024766A" w:rsidRPr="009400D8">
          <w:rPr>
            <w:rStyle w:val="a3"/>
            <w:rFonts w:cs="Arial"/>
          </w:rPr>
          <w:t>246</w:t>
        </w:r>
      </w:hyperlink>
      <w:r w:rsidR="0024766A" w:rsidRPr="009400D8">
        <w:rPr>
          <w:rFonts w:cs="Arial"/>
        </w:rPr>
        <w:t>, следующие изменения: долгосрочный план развития района (на период до 2020года) изложить в новой редакции: согласно приложения №1.</w:t>
      </w:r>
    </w:p>
    <w:p w:rsidR="0024766A" w:rsidRPr="009400D8" w:rsidRDefault="009400D8" w:rsidP="009400D8">
      <w:pPr>
        <w:rPr>
          <w:rFonts w:cs="Arial"/>
        </w:rPr>
      </w:pPr>
      <w:r>
        <w:rPr>
          <w:rFonts w:cs="Arial"/>
        </w:rPr>
        <w:t xml:space="preserve">2. </w:t>
      </w:r>
      <w:r w:rsidR="0024766A" w:rsidRPr="009400D8">
        <w:rPr>
          <w:rFonts w:cs="Arial"/>
        </w:rPr>
        <w:t>Решение вступает в силу со дня его подписания.</w:t>
      </w:r>
    </w:p>
    <w:p w:rsidR="0024766A" w:rsidRDefault="009400D8" w:rsidP="009400D8">
      <w:pPr>
        <w:rPr>
          <w:rFonts w:cs="Arial"/>
        </w:rPr>
      </w:pPr>
      <w:r>
        <w:rPr>
          <w:rFonts w:cs="Arial"/>
        </w:rPr>
        <w:t xml:space="preserve">3. </w:t>
      </w:r>
      <w:r w:rsidR="0024766A" w:rsidRPr="009400D8">
        <w:rPr>
          <w:rFonts w:cs="Arial"/>
        </w:rPr>
        <w:t>Контроль за выполнением настоящего решения возложить на председателя комиссии по экономической политике и жизнеобеспечению района Устимову Г.В.</w:t>
      </w:r>
    </w:p>
    <w:p w:rsidR="009400D8" w:rsidRDefault="009400D8" w:rsidP="009400D8">
      <w:pPr>
        <w:rPr>
          <w:rFonts w:cs="Arial"/>
        </w:rPr>
      </w:pPr>
    </w:p>
    <w:p w:rsidR="009400D8" w:rsidRDefault="009400D8" w:rsidP="009400D8">
      <w:pPr>
        <w:rPr>
          <w:rFonts w:cs="Arial"/>
        </w:rPr>
      </w:pPr>
    </w:p>
    <w:p w:rsidR="0024766A" w:rsidRPr="009400D8" w:rsidRDefault="0024766A" w:rsidP="009400D8">
      <w:pPr>
        <w:rPr>
          <w:rFonts w:cs="Arial"/>
        </w:rPr>
      </w:pPr>
      <w:r w:rsidRPr="009400D8">
        <w:rPr>
          <w:rFonts w:cs="Arial"/>
        </w:rPr>
        <w:t>Председатель</w:t>
      </w:r>
    </w:p>
    <w:p w:rsidR="0024766A" w:rsidRDefault="00C24784" w:rsidP="009400D8">
      <w:pPr>
        <w:rPr>
          <w:rFonts w:cs="Arial"/>
        </w:rPr>
      </w:pPr>
      <w:r w:rsidRPr="009400D8">
        <w:rPr>
          <w:rFonts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9.5pt;margin-top:.5pt;width:83.8pt;height:10.5pt;z-index:-251673600;mso-wrap-distance-left:5pt;mso-wrap-distance-right:5pt;mso-position-horizontal-relative:margin" filled="f" stroked="f">
            <v:textbox style="mso-fit-shape-to-text:t" inset="0,0,0,0">
              <w:txbxContent>
                <w:p w:rsidR="0024766A" w:rsidRPr="00C24784" w:rsidRDefault="0024766A">
                  <w:pPr>
                    <w:pStyle w:val="a5"/>
                    <w:shd w:val="clear" w:color="auto" w:fill="auto"/>
                    <w:spacing w:before="0" w:after="0" w:line="210" w:lineRule="exact"/>
                    <w:ind w:left="10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24766A" w:rsidRPr="009400D8">
        <w:rPr>
          <w:rFonts w:cs="Arial"/>
        </w:rPr>
        <w:t>районного Совета народных депутатов</w:t>
      </w:r>
    </w:p>
    <w:p w:rsidR="009400D8" w:rsidRDefault="009400D8" w:rsidP="009400D8">
      <w:pPr>
        <w:rPr>
          <w:rFonts w:cs="Arial"/>
        </w:rPr>
      </w:pPr>
      <w:r w:rsidRPr="00C24784">
        <w:rPr>
          <w:rStyle w:val="Exact"/>
          <w:rFonts w:ascii="Arial" w:hAnsi="Arial" w:cs="Arial"/>
          <w:color w:val="000000"/>
          <w:spacing w:val="0"/>
          <w:sz w:val="24"/>
          <w:szCs w:val="24"/>
        </w:rPr>
        <w:t>П.А.Петров</w:t>
      </w:r>
    </w:p>
    <w:p w:rsidR="009400D8" w:rsidRDefault="009400D8" w:rsidP="009400D8">
      <w:pPr>
        <w:rPr>
          <w:rFonts w:cs="Arial"/>
        </w:rPr>
      </w:pPr>
    </w:p>
    <w:p w:rsidR="009400D8" w:rsidRPr="009400D8" w:rsidRDefault="009400D8" w:rsidP="009400D8">
      <w:pPr>
        <w:rPr>
          <w:rFonts w:cs="Arial"/>
        </w:rPr>
      </w:pPr>
    </w:p>
    <w:p w:rsidR="009400D8" w:rsidRDefault="0024766A" w:rsidP="009400D8">
      <w:pPr>
        <w:rPr>
          <w:rFonts w:cs="Arial"/>
        </w:rPr>
      </w:pPr>
      <w:r w:rsidRPr="009400D8">
        <w:rPr>
          <w:rFonts w:cs="Arial"/>
        </w:rPr>
        <w:t>Г лава</w:t>
      </w:r>
    </w:p>
    <w:p w:rsidR="00C24784" w:rsidRPr="009400D8" w:rsidRDefault="0024766A" w:rsidP="009400D8">
      <w:pPr>
        <w:rPr>
          <w:rFonts w:cs="Arial"/>
        </w:rPr>
      </w:pPr>
      <w:r w:rsidRPr="009400D8">
        <w:rPr>
          <w:rFonts w:cs="Arial"/>
        </w:rPr>
        <w:lastRenderedPageBreak/>
        <w:t>Промышленновского района</w:t>
      </w:r>
    </w:p>
    <w:p w:rsidR="009400D8" w:rsidRPr="00C24784" w:rsidRDefault="009400D8" w:rsidP="009400D8">
      <w:pPr>
        <w:pStyle w:val="a6"/>
        <w:shd w:val="clear" w:color="auto" w:fill="auto"/>
        <w:spacing w:line="210" w:lineRule="exact"/>
        <w:rPr>
          <w:rFonts w:ascii="Arial" w:hAnsi="Arial" w:cs="Arial"/>
          <w:sz w:val="24"/>
          <w:szCs w:val="24"/>
        </w:rPr>
      </w:pPr>
      <w:r w:rsidRPr="00C24784">
        <w:rPr>
          <w:rStyle w:val="Exact0"/>
          <w:rFonts w:ascii="Arial" w:hAnsi="Arial" w:cs="Arial"/>
          <w:color w:val="000000"/>
          <w:spacing w:val="0"/>
          <w:sz w:val="24"/>
          <w:szCs w:val="24"/>
        </w:rPr>
        <w:t>А.И.Шмидт</w:t>
      </w:r>
    </w:p>
    <w:p w:rsidR="00F40AF9" w:rsidRPr="009400D8" w:rsidRDefault="00F40AF9" w:rsidP="009400D8">
      <w:pPr>
        <w:rPr>
          <w:rFonts w:cs="Arial"/>
        </w:rPr>
      </w:pPr>
    </w:p>
    <w:p w:rsidR="00F40AF9" w:rsidRPr="009400D8" w:rsidRDefault="00F40AF9" w:rsidP="009400D8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9400D8">
        <w:rPr>
          <w:rFonts w:cs="Arial"/>
          <w:b/>
          <w:bCs/>
          <w:kern w:val="32"/>
          <w:sz w:val="32"/>
          <w:szCs w:val="32"/>
        </w:rPr>
        <w:t>ДОЛГОСРОЧНЫЙ ПЛАН РАЗВИТИЯ РАЙОНА (НА ПЕРИОД ДО 2020 ГОДА)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Путями достижения миссии муниципального образования должна стать реализация следующих стратегические целей, обеспечивающих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устойчивое социальное развитие: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Рост уровня благосостояния жителей района.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Повышение интеллектуального потенциала района.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Обеспечение безопасности жизни в муниципальном образовании.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Рост качества среды жизнедеятельности.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Рост экономического потенциала района.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pict>
          <v:rect id="_x0000_s1041" style="position:absolute;left:0;text-align:left;margin-left:78pt;margin-top:30.15pt;width:372pt;height:42pt;z-index:251655168" fillcolor="#cf9">
            <o:extrusion v:ext="view" on="t"/>
            <v:textbox style="mso-next-textbox:#_x0000_s1041">
              <w:txbxContent>
                <w:p w:rsidR="00F40AF9" w:rsidRDefault="00F40AF9" w:rsidP="00F40AF9">
                  <w:pPr>
                    <w:pStyle w:val="a8"/>
                    <w:rPr>
                      <w:i/>
                      <w:iCs/>
                    </w:rPr>
                  </w:pPr>
                  <w:r>
                    <w:rPr>
                      <w:rStyle w:val="ab"/>
                      <w:b/>
                      <w:bCs/>
                      <w:i w:val="0"/>
                      <w:iCs w:val="0"/>
                      <w:sz w:val="28"/>
                    </w:rPr>
                    <w:t>Рост благосостояния жителей района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40" style="position:absolute;left:0;text-align:left;margin-left:6pt;margin-top:30.15pt;width:60pt;height:42pt;z-index:251654144" fillcolor="#cf9">
            <o:extrusion v:ext="view" on="t"/>
            <v:textbox style="mso-next-textbox:#_x0000_s1040">
              <w:txbxContent>
                <w:p w:rsidR="00F40AF9" w:rsidRDefault="00F40AF9" w:rsidP="00F40AF9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цель №1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t xml:space="preserve">Развитие Промышленновского района в долгосрочной перспективе будет характеризоваться реальным улучшением основных параметров качества жизни населения на основе роста материального благосостояния жителей района.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Качественные характеристики уровня жизни населения приблизятся к среднеобластным значениям.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Исходя из этого, целью предстоящего периода является увеличение доли экономически активного населения. Целью политики занятости в районе является реализация в максимальной степени трудового потенциала населения.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Долгосрочной целью является рост заработной платы населения, реальных располагаемых денежных доходов населения, соотношения между среднедушевым доходом и прожиточным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минимумом,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нейтрализация негативных последствий социального расслоения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общества – сокращение разрыва между доходами самых богатых и самых бедных слоев населения.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Генеральной целью в сфере здравоохранения на период до 2020 года является улучшение показателей здоровья населения района, снижение потерь общества по медико-биологическим аспектам за счет сокращения преждевременной смертности, увеличение средней продолжительности жизни до уровня среднеобластных значений.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К 2018 году обеспечить достижение следующих показателей: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снижение смертности от болезней системы кровообращения до 649,4 случая на 100 тыс.населения;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снижение смертности от новообразовании (в том числе от злокачественных) до 192,8 случая на 100 тыс.населения;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снижение смертности от туберкулеза до 11,8 случая на 100 тыс.населения;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снижение смертности от дорожно-транспортных происшествий до 10,6 случая на 100 тыс.населения;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снижение младенческой смертности до 7,5 случая на 1тыс.родившихся живыми;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повышение суммарного коэффициента рождаемости до 1,753;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увеличение ожидаемой продолжительности жизни населения до 74 лет.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В сфере образования сохранится равенство доступа к качественному образованию всех социальных слоев и территориальных групп населения района. </w:t>
      </w:r>
    </w:p>
    <w:p w:rsidR="002072E0" w:rsidRPr="009400D8" w:rsidRDefault="002072E0" w:rsidP="009400D8">
      <w:pPr>
        <w:rPr>
          <w:rFonts w:cs="Arial"/>
        </w:rPr>
      </w:pPr>
      <w:r w:rsidRPr="009400D8">
        <w:rPr>
          <w:rFonts w:cs="Arial"/>
        </w:rPr>
        <w:t>К 2016 году - планируется достижение 100 процентов доступности дошкольного образования для детей в возрасте от 3 до 7 лет.</w:t>
      </w:r>
    </w:p>
    <w:p w:rsidR="002072E0" w:rsidRPr="009400D8" w:rsidRDefault="002072E0" w:rsidP="009400D8">
      <w:pPr>
        <w:rPr>
          <w:rFonts w:cs="Arial"/>
        </w:rPr>
      </w:pPr>
      <w:r w:rsidRPr="009400D8">
        <w:rPr>
          <w:rFonts w:cs="Arial"/>
        </w:rPr>
        <w:t xml:space="preserve">К 2020 году - прогнозируется увеличение числа детей в возрасте от 5 до 18 лет, обучающихся по дополнительным образовательным программам, в общей </w:t>
      </w:r>
      <w:r w:rsidRPr="009400D8">
        <w:rPr>
          <w:rFonts w:cs="Arial"/>
        </w:rPr>
        <w:lastRenderedPageBreak/>
        <w:t>численности детей этого возраста до 70 - 75 процентов, предполагая, что 50 процентов из них должны обучаться за счет бюджетных ассигнований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Увеличится сеть муниципальных учреждений культуры. Будет обеспечена их доступность для широких слоев населения района.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Долгосрочной целью является также сохранение и развитие имеющегося культурного потенциала и культурного наследия, обеспечение преемственности в развитии культуры наряду с поддержкой культурных инноваций.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Будут созданы хорошие условия для занятия физической культурой и спортом, в результате чего значительно увеличится численность населения, занимающегося в спортивных сооружениях.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pict>
          <v:rect id="_x0000_s1043" style="position:absolute;left:0;text-align:left;margin-left:117.65pt;margin-top:65pt;width:361.6pt;height:42pt;z-index:251657216" fillcolor="#cf9">
            <o:extrusion v:ext="view" on="t"/>
            <v:textbox style="mso-next-textbox:#_x0000_s1043">
              <w:txbxContent>
                <w:p w:rsidR="00F40AF9" w:rsidRPr="002C0DBF" w:rsidRDefault="00F40AF9" w:rsidP="00F40AF9">
                  <w:pPr>
                    <w:pStyle w:val="3"/>
                    <w:jc w:val="right"/>
                    <w:rPr>
                      <w:i/>
                      <w:iCs/>
                      <w:sz w:val="24"/>
                      <w:szCs w:val="24"/>
                    </w:rPr>
                  </w:pPr>
                  <w:r w:rsidRPr="002C0DBF">
                    <w:rPr>
                      <w:rStyle w:val="ab"/>
                      <w:i w:val="0"/>
                      <w:iCs w:val="0"/>
                      <w:sz w:val="24"/>
                      <w:szCs w:val="24"/>
                    </w:rPr>
                    <w:t>Повышение интеллектуального потенциала района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42" style="position:absolute;left:0;text-align:left;margin-left:9.05pt;margin-top:65.6pt;width:72.4pt;height:33.55pt;z-index:251656192" fillcolor="#cf9">
            <o:extrusion v:ext="view" on="t"/>
            <v:textbox style="mso-next-textbox:#_x0000_s1042">
              <w:txbxContent>
                <w:p w:rsidR="00F40AF9" w:rsidRPr="002C0DBF" w:rsidRDefault="00F40AF9" w:rsidP="00F40AF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2C0DBF">
                    <w:rPr>
                      <w:rFonts w:cs="Arial"/>
                      <w:b/>
                      <w:bCs/>
                    </w:rPr>
                    <w:t>цель № 2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t xml:space="preserve">Будет воспитываться и поощряться позитивное отношение к здоровью и здоровому образу жизни, отвлечение от пагубных привычек и преступности. </w:t>
      </w:r>
    </w:p>
    <w:p w:rsidR="00F40AF9" w:rsidRPr="009400D8" w:rsidRDefault="00F40AF9" w:rsidP="009400D8">
      <w:pPr>
        <w:rPr>
          <w:rFonts w:cs="Arial"/>
        </w:rPr>
      </w:pP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Генеральной целью в долгосрочной перспективе является воспитание свободной личности, ее индивидуальности, неповторимости в интересах гражданского общества.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Важнейшими ориентирами долгосрочной перспективы в сфере образования являются повышение качества образовательных услуг на основе модернизации материально-технического и кадрового потенциала образовательных учреждений, интеграции образовательных учреждений в региональное, общероссийское и мировое информационное пространство,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реализации принципа непрерывности образования, повышения профессиональной компетентности выпускников и эффективного использования их знаний для динамичного развития экономики и социальной сферы района.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 сфере здравоохранения будут реализованы меры по укреплению здоровья населения в первую очередь за счет мер по усилению профилактической направленности здравоохранения, позволяющих формировать здоровое поколение населения района.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Будет осуществлено формирование Промышленновского района как культурного центра, нацеленного на сохранение и преумножение культурного и духовного потенциала общества за счет выявления и поддержки творчески одаренных жителей района, модернизации материально-технической базы и профессиональной подготовки работников учреждений культуры и искусства, интеграции этих учреждений в региональное, общероссийское и мировое информационное пространство.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pict>
          <v:rect id="_x0000_s1044" style="position:absolute;left:0;text-align:left;margin-left:-12pt;margin-top:18pt;width:66pt;height:45pt;z-index:251658240" fillcolor="#cf9">
            <o:extrusion v:ext="view" on="t"/>
            <v:textbox style="mso-next-textbox:#_x0000_s1044">
              <w:txbxContent>
                <w:p w:rsidR="00F40AF9" w:rsidRPr="002072E0" w:rsidRDefault="00F40AF9" w:rsidP="00F40AF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2072E0">
                    <w:rPr>
                      <w:rFonts w:cs="Arial"/>
                      <w:b/>
                      <w:bCs/>
                    </w:rPr>
                    <w:t>цель №3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45" style="position:absolute;left:0;text-align:left;margin-left:66pt;margin-top:18pt;width:396pt;height:42pt;z-index:251659264" fillcolor="#cf9">
            <o:extrusion v:ext="view" on="t"/>
            <v:textbox style="mso-next-textbox:#_x0000_s1045">
              <w:txbxContent>
                <w:p w:rsidR="00F40AF9" w:rsidRPr="002072E0" w:rsidRDefault="00F40AF9" w:rsidP="00F40AF9">
                  <w:pPr>
                    <w:rPr>
                      <w:rFonts w:cs="Arial"/>
                      <w:b/>
                      <w:bCs/>
                      <w:i/>
                      <w:iCs/>
                    </w:rPr>
                  </w:pPr>
                  <w:r w:rsidRPr="002072E0">
                    <w:rPr>
                      <w:rStyle w:val="ab"/>
                      <w:rFonts w:cs="Arial"/>
                      <w:b/>
                      <w:bCs/>
                      <w:i w:val="0"/>
                      <w:iCs w:val="0"/>
                    </w:rPr>
                    <w:t>Обеспечение безопасности жизни в муниципальном образовании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t>В долгосрочной перспективе в районе будут обеспечены условия для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 xml:space="preserve">надежной защиты личности и общества от преступных посягательств.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 сфере пожарной безопасности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будет снижено количества пожаров и размер ущерба от них до среднего уровня по области.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pict>
          <v:rect id="_x0000_s1047" style="position:absolute;left:0;text-align:left;margin-left:84pt;margin-top:59.05pt;width:378pt;height:45.25pt;z-index:251661312" fillcolor="#cf9">
            <o:extrusion v:ext="view" on="t"/>
            <v:textbox style="mso-next-textbox:#_x0000_s1047">
              <w:txbxContent>
                <w:p w:rsidR="00F40AF9" w:rsidRPr="002072E0" w:rsidRDefault="00F40AF9" w:rsidP="00F40AF9">
                  <w:pPr>
                    <w:pStyle w:val="3"/>
                    <w:rPr>
                      <w:i/>
                      <w:iCs/>
                      <w:sz w:val="24"/>
                      <w:szCs w:val="24"/>
                    </w:rPr>
                  </w:pPr>
                  <w:r w:rsidRPr="002072E0">
                    <w:rPr>
                      <w:rStyle w:val="ab"/>
                      <w:i w:val="0"/>
                      <w:iCs w:val="0"/>
                      <w:sz w:val="24"/>
                      <w:szCs w:val="24"/>
                    </w:rPr>
                    <w:t>Рост качества среды жизнедеятельности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t xml:space="preserve">Будут исключены возможности возникновения катастроф техногенного характера, в том числе возгорание свалок и обвал перекрытий жилых домов и общественных зданий.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pict>
          <v:rect id="_x0000_s1046" style="position:absolute;left:0;text-align:left;margin-left:9.05pt;margin-top:26.7pt;width:66pt;height:36.2pt;z-index:251660288" fillcolor="#cf9">
            <o:extrusion v:ext="view" on="t"/>
            <v:textbox style="mso-next-textbox:#_x0000_s1046">
              <w:txbxContent>
                <w:p w:rsidR="00F40AF9" w:rsidRPr="002072E0" w:rsidRDefault="00F40AF9" w:rsidP="00F40AF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2072E0">
                    <w:rPr>
                      <w:rFonts w:cs="Arial"/>
                      <w:b/>
                      <w:bCs/>
                    </w:rPr>
                    <w:t>цель            № 4</w:t>
                  </w:r>
                </w:p>
              </w:txbxContent>
            </v:textbox>
            <w10:wrap type="topAndBottom"/>
          </v:rect>
        </w:pic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К 2020 году в районе будут созданы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 xml:space="preserve">благоприятные условия проживания населения.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Значительно возрастет качество и комфортность жилищного фонда.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Уровень обеспеченности населения жильем будет соответствовать среднеобластному значению.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Жители района будут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 xml:space="preserve">гарантировано обеспечены такими видами коммунальных услуг, как водо- и электроснабжение.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Будет проведена реконструкция, техническое перевооружение действующих коммунальных предприятий, продолжится дальнейшее развитие инженерной инфраструктуры коммунального хозяйства.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Будет улучшен экологический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уровень условий проживания населения региона.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Исходя из оценки стартовых условий функционирования отдельных отраслей социальной сферы района, потенциала для их развития в долгосрочной перспективе и возможностей администрации района повлиять на данный уровень развития, степени влияния развития данных социальных сфер на достижение стратегических целей и, как следствие, реализации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миссии муниципального образования, были определены следующие приоритеты, на которых должно быть сфокусировано внимание администрации района: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pict>
          <v:rect id="_x0000_s1056" style="position:absolute;left:0;text-align:left;margin-left:96pt;margin-top:252pt;width:372pt;height:27pt;z-index:251670528" stroked="f">
            <v:textbox style="mso-next-textbox:#_x0000_s1056">
              <w:txbxContent>
                <w:p w:rsidR="00F40AF9" w:rsidRPr="00ED404B" w:rsidRDefault="00F40AF9" w:rsidP="00F40AF9">
                  <w:pPr>
                    <w:pStyle w:val="2"/>
                    <w:rPr>
                      <w:b w:val="0"/>
                    </w:rPr>
                  </w:pPr>
                  <w:r w:rsidRPr="00ED404B">
                    <w:rPr>
                      <w:b w:val="0"/>
                      <w:sz w:val="24"/>
                    </w:rPr>
                    <w:t>ПРИОРИТЕТНЫЕ</w:t>
                  </w:r>
                  <w:r w:rsidRPr="00ED404B">
                    <w:rPr>
                      <w:b w:val="0"/>
                    </w:rPr>
                    <w:t xml:space="preserve"> </w:t>
                  </w:r>
                  <w:r w:rsidRPr="00ED404B">
                    <w:rPr>
                      <w:b w:val="0"/>
                      <w:sz w:val="24"/>
                    </w:rPr>
                    <w:t>НАЦИОНАЛЬНЫЕ</w:t>
                  </w:r>
                  <w:r w:rsidRPr="00ED404B">
                    <w:rPr>
                      <w:b w:val="0"/>
                    </w:rPr>
                    <w:t xml:space="preserve"> </w:t>
                  </w:r>
                  <w:r w:rsidRPr="00ED404B">
                    <w:rPr>
                      <w:b w:val="0"/>
                      <w:sz w:val="24"/>
                    </w:rPr>
                    <w:t>ПРОЕКТЫ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line id="_x0000_s1055" style="position:absolute;left:0;text-align:left;z-index:251669504" from="48pt,261pt" to="84pt,261pt" strokeweight="4.5pt">
            <v:stroke endarrow="block"/>
            <w10:wrap type="topAndBottom"/>
          </v:line>
        </w:pict>
      </w:r>
      <w:r w:rsidRPr="009400D8">
        <w:rPr>
          <w:rFonts w:cs="Arial"/>
        </w:rPr>
        <w:pict>
          <v:line id="_x0000_s1054" style="position:absolute;left:0;text-align:left;z-index:251668480" from="48pt,3in" to="60pt,3in">
            <w10:wrap type="topAndBottom"/>
          </v:line>
        </w:pict>
      </w:r>
      <w:r w:rsidRPr="009400D8">
        <w:rPr>
          <w:rFonts w:cs="Arial"/>
        </w:rPr>
        <w:pict>
          <v:line id="_x0000_s1053" style="position:absolute;left:0;text-align:left;z-index:251667456" from="48pt,162pt" to="60pt,162pt">
            <w10:wrap type="topAndBottom"/>
          </v:line>
        </w:pict>
      </w:r>
      <w:r w:rsidRPr="009400D8">
        <w:rPr>
          <w:rFonts w:cs="Arial"/>
        </w:rPr>
        <w:pict>
          <v:line id="_x0000_s1052" style="position:absolute;left:0;text-align:left;z-index:251666432" from="48pt,99pt" to="60pt,99pt">
            <w10:wrap type="topAndBottom"/>
          </v:line>
        </w:pict>
      </w:r>
      <w:r w:rsidRPr="009400D8">
        <w:rPr>
          <w:rFonts w:cs="Arial"/>
        </w:rPr>
        <w:pict>
          <v:line id="_x0000_s1051" style="position:absolute;left:0;text-align:left;z-index:251665408" from="48pt,45pt" to="48pt,261pt" strokeweight="2.25pt">
            <w10:wrap type="topAndBottom"/>
          </v:line>
        </w:pict>
      </w:r>
      <w:r w:rsidRPr="009400D8">
        <w:rPr>
          <w:rFonts w:cs="Arial"/>
        </w:rPr>
        <w:pict>
          <v:line id="_x0000_s1050" style="position:absolute;left:0;text-align:left;z-index:251664384" from="48pt,45pt" to="60pt,45pt">
            <w10:wrap type="topAndBottom"/>
          </v:line>
        </w:pict>
      </w:r>
      <w:r w:rsidRPr="009400D8">
        <w:rPr>
          <w:rFonts w:cs="Arial"/>
        </w:rPr>
        <w:pict>
          <v:rect id="_x0000_s1033" style="position:absolute;left:0;text-align:left;margin-left:60pt;margin-top:191.7pt;width:408pt;height:42pt;z-index:251646976">
            <v:shadow on="t" offset="6pt,-6pt"/>
            <v:textbox style="mso-next-textbox:#_x0000_s1033">
              <w:txbxContent>
                <w:p w:rsidR="00F40AF9" w:rsidRPr="00ED404B" w:rsidRDefault="00F40AF9" w:rsidP="00F40AF9">
                  <w:pPr>
                    <w:pStyle w:val="a8"/>
                    <w:rPr>
                      <w:rFonts w:cs="Arial"/>
                    </w:rPr>
                  </w:pPr>
                  <w:r w:rsidRPr="00ED404B">
                    <w:rPr>
                      <w:rStyle w:val="ab"/>
                      <w:rFonts w:cs="Arial"/>
                      <w:i w:val="0"/>
                      <w:iCs w:val="0"/>
                    </w:rPr>
                    <w:t>Повышение качества и доступности культурных и информационных услуг для населения района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32" style="position:absolute;left:0;text-align:left;margin-left:60pt;margin-top:137.7pt;width:408pt;height:42pt;z-index:251645952">
            <v:shadow on="t" offset="6pt,-6pt"/>
            <v:textbox style="mso-next-textbox:#_x0000_s1032">
              <w:txbxContent>
                <w:p w:rsidR="00F40AF9" w:rsidRDefault="00F40AF9" w:rsidP="00F40AF9">
                  <w:r w:rsidRPr="00ED404B">
                    <w:rPr>
                      <w:rStyle w:val="ab"/>
                      <w:rFonts w:cs="Arial"/>
                      <w:i w:val="0"/>
                      <w:iCs w:val="0"/>
                    </w:rPr>
                    <w:t>Обеспечение доступности жилья для граждан, создание безопасных и комфортных условий проживания в нем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31" style="position:absolute;left:0;text-align:left;margin-left:60pt;margin-top:83.7pt;width:408pt;height:42pt;z-index:251644928">
            <v:shadow on="t" offset="6pt,-6pt"/>
            <v:textbox style="mso-next-textbox:#_x0000_s1031">
              <w:txbxContent>
                <w:p w:rsidR="00F40AF9" w:rsidRPr="00ED404B" w:rsidRDefault="00F40AF9" w:rsidP="00F40AF9">
                  <w:pPr>
                    <w:rPr>
                      <w:rFonts w:cs="Arial"/>
                    </w:rPr>
                  </w:pPr>
                  <w:r w:rsidRPr="00ED404B">
                    <w:rPr>
                      <w:rStyle w:val="ab"/>
                      <w:rFonts w:cs="Arial"/>
                      <w:i w:val="0"/>
                      <w:iCs w:val="0"/>
                    </w:rPr>
                    <w:t>Повышение качества и доступности медицинских услуг, расширение их спектра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30" style="position:absolute;left:0;text-align:left;margin-left:60pt;margin-top:20.7pt;width:408pt;height:48pt;z-index:251643904">
            <v:shadow on="t" offset="6pt,-6pt"/>
            <v:textbox style="mso-next-textbox:#_x0000_s1030">
              <w:txbxContent>
                <w:p w:rsidR="00F40AF9" w:rsidRPr="00ED404B" w:rsidRDefault="00F40AF9" w:rsidP="00F40AF9">
                  <w:pPr>
                    <w:pStyle w:val="22"/>
                    <w:tabs>
                      <w:tab w:val="left" w:pos="993"/>
                    </w:tabs>
                    <w:spacing w:after="0" w:line="240" w:lineRule="auto"/>
                    <w:rPr>
                      <w:rStyle w:val="ab"/>
                      <w:rFonts w:cs="Arial"/>
                      <w:i w:val="0"/>
                      <w:iCs w:val="0"/>
                    </w:rPr>
                  </w:pPr>
                  <w:r w:rsidRPr="00ED404B">
                    <w:rPr>
                      <w:rStyle w:val="ab"/>
                      <w:rFonts w:cs="Arial"/>
                      <w:i w:val="0"/>
                      <w:iCs w:val="0"/>
                    </w:rPr>
                    <w:t>Создание оптимальных условий для повышения качества образования, расширение доступности образовательных услуг для населения района.</w:t>
                  </w:r>
                </w:p>
                <w:p w:rsidR="00F40AF9" w:rsidRDefault="00F40AF9" w:rsidP="00F40AF9"/>
              </w:txbxContent>
            </v:textbox>
            <w10:wrap type="topAndBottom"/>
          </v:rect>
        </w:pic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Оптимизм ожиданий в возможности реализации данных приоритетных направлений основан, во-первых, на том, что направления практически совпадают с реализацией приоритетных национальных проектов на территории субъекта Федерации и, соответственно, Промышленновского района и, во-вторых, с перспективами развития реального сектора экономики.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pict>
          <v:rect id="_x0000_s1049" style="position:absolute;left:0;text-align:left;margin-left:102pt;margin-top:37.3pt;width:5in;height:36pt;z-index:251663360" fillcolor="#cf9">
            <o:extrusion v:ext="view" on="t"/>
            <v:textbox style="mso-next-textbox:#_x0000_s1049">
              <w:txbxContent>
                <w:p w:rsidR="00F40AF9" w:rsidRPr="002072E0" w:rsidRDefault="00F40AF9" w:rsidP="00F40AF9">
                  <w:pPr>
                    <w:pStyle w:val="3"/>
                    <w:rPr>
                      <w:b w:val="0"/>
                      <w:i/>
                      <w:iCs/>
                      <w:sz w:val="24"/>
                      <w:szCs w:val="24"/>
                    </w:rPr>
                  </w:pPr>
                  <w:r w:rsidRPr="002072E0">
                    <w:rPr>
                      <w:rStyle w:val="ab"/>
                      <w:b w:val="0"/>
                      <w:i w:val="0"/>
                      <w:iCs w:val="0"/>
                      <w:sz w:val="24"/>
                      <w:szCs w:val="24"/>
                    </w:rPr>
                    <w:t>Рост экономического потенциала района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48" style="position:absolute;left:0;text-align:left;margin-left:0;margin-top:37.3pt;width:84pt;height:36pt;z-index:251662336" fillcolor="#cf9">
            <o:extrusion v:ext="view" on="t"/>
            <v:textbox style="mso-next-textbox:#_x0000_s1048">
              <w:txbxContent>
                <w:p w:rsidR="00F40AF9" w:rsidRPr="002072E0" w:rsidRDefault="00F40AF9" w:rsidP="00F40AF9">
                  <w:pPr>
                    <w:rPr>
                      <w:rFonts w:cs="Arial"/>
                      <w:bCs/>
                    </w:rPr>
                  </w:pPr>
                  <w:r w:rsidRPr="002072E0">
                    <w:rPr>
                      <w:rFonts w:cs="Arial"/>
                      <w:bCs/>
                    </w:rPr>
                    <w:t>цель № 5</w:t>
                  </w:r>
                </w:p>
              </w:txbxContent>
            </v:textbox>
            <w10:wrap type="topAndBottom"/>
          </v:rect>
        </w:pict>
      </w:r>
    </w:p>
    <w:p w:rsidR="00F40AF9" w:rsidRPr="009400D8" w:rsidRDefault="00F40AF9" w:rsidP="009400D8">
      <w:pPr>
        <w:rPr>
          <w:rFonts w:cs="Arial"/>
        </w:rPr>
      </w:pP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Особенностью развития реального сектора экономики в долгосрочной перспективе является реализация крупномасштабных экономических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 xml:space="preserve">проектов, в результате чего будет осуществлена диверсификация экономики района. Появятся новые для района виды экономической деятельности – добыча топливно-энергетических полезных ископаемых и туристический бизнес. </w:t>
      </w:r>
    </w:p>
    <w:p w:rsidR="002072E0" w:rsidRPr="009400D8" w:rsidRDefault="002072E0" w:rsidP="009400D8">
      <w:pPr>
        <w:rPr>
          <w:rFonts w:cs="Arial"/>
        </w:rPr>
      </w:pPr>
      <w:r w:rsidRPr="009400D8">
        <w:rPr>
          <w:rFonts w:cs="Arial"/>
        </w:rPr>
        <w:t>К 2015 году – планируется увеличение объема инвестиций до 5 млрд.рублей, к 2018 году – до 7 млрд.руб.;</w:t>
      </w:r>
    </w:p>
    <w:p w:rsidR="002072E0" w:rsidRPr="009400D8" w:rsidRDefault="002072E0" w:rsidP="009400D8">
      <w:pPr>
        <w:rPr>
          <w:rFonts w:cs="Arial"/>
        </w:rPr>
      </w:pPr>
      <w:r w:rsidRPr="009400D8">
        <w:rPr>
          <w:rFonts w:cs="Arial"/>
        </w:rPr>
        <w:t>К 2020 году – будут созданы и модернизированы 2,5 тысяч высокопроизводимых рабочих мест.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Стратегической целью развития ведущих видов экономической деятельности района в долгосрочной перспективе является обеспечение выпуска конкурентоспособной продукции на основе повышения технического уровня производства.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Предусматривается, что к 2020 году реальный сектор экономики района будет находиться в стадии устойчивого динамичного роста.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 позиции перспектив развития выделены следующие группы ведущих видов экономической деятельности: производство сельскохозяйственной продукции, производство пищевых продуктов, добыча угля, развитие туризма.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Стратегической целью в производстве пищевых продуктов является обеспечение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в полном объеме потребности рынка Кузбасса и соседних регионов в высококачественных пищевых товарах. Рост объемов производства здесь будет обеспечен за счет: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обновления основных фондов действующих предприятий;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реализации грамотной маркетинговой политики.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Новый вид деятельности – добыча угля – будет обеспечен за счет строительства и ввода в эксплуатацию шахты «Серафимовская»</w:t>
      </w:r>
      <w:r w:rsidR="002072E0" w:rsidRPr="009400D8">
        <w:rPr>
          <w:rFonts w:cs="Arial"/>
        </w:rPr>
        <w:t xml:space="preserve"> ООО «Угольная компания «Заречная»</w:t>
      </w:r>
      <w:r w:rsidRPr="009400D8">
        <w:rPr>
          <w:rFonts w:cs="Arial"/>
        </w:rPr>
        <w:t xml:space="preserve"> мощностью порядка 4 млн. тонн в год</w:t>
      </w:r>
      <w:r w:rsidR="002072E0" w:rsidRPr="009400D8">
        <w:rPr>
          <w:rFonts w:cs="Arial"/>
        </w:rPr>
        <w:t>, шахты «Плотниковская», разреза «Истокский» ОАО Холдинговая компания «СДС-Уголь»,</w:t>
      </w:r>
      <w:r w:rsidRPr="009400D8">
        <w:rPr>
          <w:rFonts w:cs="Arial"/>
        </w:rPr>
        <w:t xml:space="preserve"> горно-добывающего предприятия на участке «Хмелевский» Солоновского каменноугольного месторождения.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Аграрная политика в районе будет направлена на обеспечение продовольственной безопасности района и региона в целом, формирование и развитие агропродовольственных рынков, поддержку эффективных собственников, повышение доходов сельского населения.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 долгосрочной перспективе актуальным будет: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сосредоточение финансовых и материальных ресурсов на повышении технологического уровня аграрного производства и внедрении ресурсосберегающих технологий, направленных, в первую очередь, на повышение плодородия земель, расширение использования племенного животноводства и элитного семеноводства, использование прогрессивных технологий и научно-технического потенциала. Это позволит увеличить посевы зерновых кондиционными семенами, семенами с высокой репродукцией, семенами, обеззараженными химическими и биологическими препаратами, увеличить число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 xml:space="preserve">племенных хозяйств с удоем молока до </w:t>
      </w:r>
      <w:smartTag w:uri="urn:schemas-microsoft-com:office:smarttags" w:element="metricconverter">
        <w:smartTagPr>
          <w:attr w:name="ProductID" w:val="6000 кг"/>
        </w:smartTagPr>
        <w:r w:rsidRPr="009400D8">
          <w:rPr>
            <w:rFonts w:cs="Arial"/>
          </w:rPr>
          <w:t>600</w:t>
        </w:r>
        <w:r w:rsidR="002072E0" w:rsidRPr="009400D8">
          <w:rPr>
            <w:rFonts w:cs="Arial"/>
          </w:rPr>
          <w:t>0</w:t>
        </w:r>
        <w:r w:rsidRPr="009400D8">
          <w:rPr>
            <w:rFonts w:cs="Arial"/>
          </w:rPr>
          <w:t xml:space="preserve"> кг</w:t>
        </w:r>
      </w:smartTag>
      <w:r w:rsidRPr="009400D8">
        <w:rPr>
          <w:rFonts w:cs="Arial"/>
        </w:rPr>
        <w:t>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 формирование механизма сервисного обслуживания личных подворий населения, что положительно скажется на повышении жизненного уровня сельского населения, повышении заинтересованности в увеличении объемов производства сельскохозяйственной продукции;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укрепление кадрового состава предприятий и совершенствования системы подготовки кадров для сельского хозяйства, в том числе специалистов, обеспечивающих переход на рыночный механизм хозяйствования – менеджеров, маркетологов, финансовых управляющих, специалистов-консультантов.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 долгосрочной перспективе Промышленновский район станет крупным центром горнолыжного туризма, обеспечивающим рекреационные потребности в первую очередь жителей района, а также жителей центральных и северных территорий области, сопредельных регионов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на уровне международных стандартов туристических услуг.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Стратегической целью развития транспорта и связи в районе является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устойчивое функционирование системы, удовлетворяющей возрастающие потребности экономики в транспортных услугах, высокое качество транспортных услуг и услуг связи, предоставляемых населению.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 долгосрочной перспективе усилия необходимо направить: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значительное расширение спектра современных информационных услуг,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 xml:space="preserve">с необходимым уровнем защиты информации.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 строительном комплексе в долгосрочной перспективе основные усилия будут направлены: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на увеличение объемов строительства жилья;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обеспечение доступности жилья в соответствии с платежеспособным спросом населения, в том числе динамичное развитие системы ипотечного жилищного кредитования;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 строительство и реконструкция объектов социальной сферы в сельских территориях;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Стратегической целью развития предпринимательства в долгосрочной перспективе является становление «среднего» класса в районе.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Одним из условий этого является формирования благоприятного предпринимательского климата в районе, обеспечение устойчивого роста численности малых предприятий и индивидуальных предпринимателей.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Выбор приоритетных видов экономической деятельности в районе был основан на следующих критериях: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 хорошие стартовые условия для развития;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наличие природных и климатических условий для развития данного вида экономической деятельности;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исторически сложившаяся культура ведения хозяйства;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наличие кадрового потенциала;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востребованность продукции на рынке;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pict>
          <v:rect id="_x0000_s1037" style="position:absolute;left:0;text-align:left;margin-left:54pt;margin-top:117pt;width:414pt;height:30pt;z-index:251651072">
            <v:shadow on="t" offset="6pt,-6pt"/>
            <v:textbox style="mso-next-textbox:#_x0000_s1037">
              <w:txbxContent>
                <w:p w:rsidR="00F40AF9" w:rsidRPr="0034313A" w:rsidRDefault="00F40AF9" w:rsidP="00F40AF9">
                  <w:pPr>
                    <w:pStyle w:val="1"/>
                    <w:jc w:val="left"/>
                    <w:rPr>
                      <w:sz w:val="24"/>
                    </w:rPr>
                  </w:pPr>
                  <w:r w:rsidRPr="0034313A">
                    <w:rPr>
                      <w:sz w:val="24"/>
                    </w:rPr>
                    <w:t>Развитие угледобычи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34" style="position:absolute;left:0;text-align:left;margin-left:6pt;margin-top:1in;width:30pt;height:27pt;flip:y;z-index:251648000">
            <v:shadow on="t" offset="6pt,-6pt"/>
            <v:textbox style="mso-next-textbox:#_x0000_s1034">
              <w:txbxContent>
                <w:p w:rsidR="00F40AF9" w:rsidRDefault="00F40AF9" w:rsidP="00F40AF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t>В результате в качестве приоритетов устойчивого экономического развития района были определены следующие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направления (в том числе новые для района виды экономической деятельности ):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pict>
          <v:rect id="_x0000_s1058" style="position:absolute;left:0;text-align:left;margin-left:54pt;margin-top:158.7pt;width:414pt;height:27pt;z-index:251672576">
            <v:shadow on="t" offset="6pt,-6pt"/>
            <v:textbox style="mso-next-textbox:#_x0000_s1058">
              <w:txbxContent>
                <w:p w:rsidR="00F40AF9" w:rsidRDefault="00F40AF9" w:rsidP="00F40AF9">
                  <w:pPr>
                    <w:pStyle w:val="1"/>
                    <w:jc w:val="left"/>
                  </w:pPr>
                  <w:r w:rsidRPr="0034313A">
                    <w:rPr>
                      <w:sz w:val="24"/>
                    </w:rPr>
                    <w:t>Поддержка и развитие малого бизнеса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57" style="position:absolute;left:0;text-align:left;margin-left:6pt;margin-top:158.7pt;width:30pt;height:27pt;z-index:251671552">
            <v:shadow on="t" offset="6pt,-6pt"/>
            <v:textbox style="mso-next-textbox:#_x0000_s1057">
              <w:txbxContent>
                <w:p w:rsidR="00F40AF9" w:rsidRDefault="00F40AF9" w:rsidP="00F40AF9">
                  <w:pPr>
                    <w:jc w:val="center"/>
                  </w:pPr>
                  <w:r>
                    <w:t>4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38" style="position:absolute;left:0;text-align:left;margin-left:6pt;margin-top:113.7pt;width:30pt;height:31pt;z-index:251652096">
            <v:shadow on="t" offset="6pt,-6pt"/>
            <v:textbox style="mso-next-textbox:#_x0000_s1038">
              <w:txbxContent>
                <w:p w:rsidR="00F40AF9" w:rsidRDefault="00F40AF9" w:rsidP="00F40AF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39" style="position:absolute;left:0;text-align:left;margin-left:54pt;margin-top:113.7pt;width:414pt;height:30pt;z-index:251653120">
            <v:shadow on="t" offset="6pt,-6pt"/>
            <v:textbox style="mso-next-textbox:#_x0000_s1039">
              <w:txbxContent>
                <w:p w:rsidR="00F40AF9" w:rsidRPr="002072E0" w:rsidRDefault="00F40AF9" w:rsidP="00F40AF9">
                  <w:pPr>
                    <w:rPr>
                      <w:rFonts w:cs="Arial"/>
                    </w:rPr>
                  </w:pPr>
                  <w:r w:rsidRPr="002072E0">
                    <w:rPr>
                      <w:rFonts w:cs="Arial"/>
                    </w:rPr>
                    <w:t>Развитие туризма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36" style="position:absolute;left:0;text-align:left;margin-left:6pt;margin-top:68.7pt;width:30pt;height:30pt;z-index:251650048">
            <v:shadow on="t" offset="6pt,-6pt"/>
            <v:textbox style="mso-next-textbox:#_x0000_s1036">
              <w:txbxContent>
                <w:p w:rsidR="00F40AF9" w:rsidRDefault="00F40AF9" w:rsidP="00F40AF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  <w10:wrap type="topAndBottom"/>
          </v:rect>
        </w:pict>
      </w:r>
      <w:r w:rsidRPr="009400D8">
        <w:rPr>
          <w:rFonts w:cs="Arial"/>
        </w:rPr>
        <w:pict>
          <v:rect id="_x0000_s1035" style="position:absolute;left:0;text-align:left;margin-left:54pt;margin-top:23.7pt;width:414pt;height:30pt;z-index:251649024">
            <v:shadow on="t" offset="6pt,-6pt"/>
            <v:textbox style="mso-next-textbox:#_x0000_s1035">
              <w:txbxContent>
                <w:p w:rsidR="00F40AF9" w:rsidRPr="0034313A" w:rsidRDefault="00F40AF9" w:rsidP="00F40AF9">
                  <w:pPr>
                    <w:pStyle w:val="a8"/>
                    <w:rPr>
                      <w:rFonts w:cs="Arial"/>
                    </w:rPr>
                  </w:pPr>
                  <w:r w:rsidRPr="0034313A">
                    <w:rPr>
                      <w:rFonts w:cs="Arial"/>
                    </w:rPr>
                    <w:t>Развитие агропромышленного комплекса</w:t>
                  </w:r>
                </w:p>
              </w:txbxContent>
            </v:textbox>
            <w10:wrap type="topAndBottom"/>
          </v:rect>
        </w:pic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Потребуется разработка и реализация целевой программы «Кадры».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 качестве обоснования выбора стратегических направлений развития района можно привести основные параметры двух возможных сценариев развития, условно названных «Инерционный» и «Прорыв».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Первый - «Инерционный» - связан с общим улучшением ситуации в экономике и социальной сфере района, повышением качества жизни населения без существенного изменения сложившейся структуры экономики.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В материальном производстве ведущая роль сохранится за сельским хозяйством. При этом сельскохозяйственное производство будет высокотехнологичным, хорошо технически оснащенным. Доля убыточных хозяйств будет стремиться к минимуму.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Главенство в производстве промышленной продукции останется за производством пищевых продуктов. При этом сохранится фактически моноструктура промышленного производства, а, следовательно, - угроза стабильности развития промышленного производства. Положительная динамика промышленного производства станет возможной при условии, как минимум, сохранения рынков сбыта выпускаемой продукции, прежде всего пива.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Будут созданы условия для успешного развития малого бизнеса.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Общее улучшение экономической ситуации положительно скажется на наполняемости местного бюджета.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На фоне развития экономических успехов и увеличения бюджетных доходов произойдет значительное улучшение качества жизни населения.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Повысится занятость и уровень доходов населения, будет проведена модернизация материально-технической базы учреждений социальной сферы, повысятся темпы жилищного строительства.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Произойдет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сближение в уровне обеспеченности населения сельских поселений района и Промышленновского городского поселения наиболее значимыми социальными объектами и услугами.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Второй вариант - «Прорыв».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Согласно ему «Инерционный» вариант развития будет дополнен созданием нового для района вида экономической деятельности – добычей топливно-энергетических полезных ископаемых (угля)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 xml:space="preserve">на Серафимовском месторождении и на участке «Хмелевский» Солоновского каменноугольного месторождения.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Преимущество данного варианта очевидно, так как в результате его реализации повышается устойчивость экономики района, значительно повышаются макроэкономические параметры и, как следствие, возрастает качество жизни населения и</w:t>
      </w:r>
      <w:r w:rsidR="009400D8">
        <w:rPr>
          <w:rFonts w:cs="Arial"/>
        </w:rPr>
        <w:t xml:space="preserve"> </w:t>
      </w:r>
      <w:r w:rsidRPr="009400D8">
        <w:rPr>
          <w:rFonts w:cs="Arial"/>
        </w:rPr>
        <w:t>собственные доходы местного бюджета.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 xml:space="preserve">В результате Промышленновский район может значительно улучшить общий уровень развития и, при проведении комплексной оценки уровня социально-экономического развития муниципальных образований области, не только покинуть группу депрессивных территорий с низким уровнем развития экономики и социальной сферы, но и значительно повысить свой рейтинговый уровень.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Динамика производства продукции сельского хозяйства, в % к 2010 году</w:t>
      </w:r>
    </w:p>
    <w:p w:rsidR="00F40AF9" w:rsidRPr="009400D8" w:rsidRDefault="009400D8" w:rsidP="009400D8">
      <w:pPr>
        <w:rPr>
          <w:rFonts w:cs="Arial"/>
        </w:rPr>
      </w:pPr>
      <w:r>
        <w:rPr>
          <w:rFonts w:cs="Arial"/>
        </w:rPr>
        <w:t xml:space="preserve"> </w:t>
      </w:r>
      <w:r w:rsidR="00F40AF9" w:rsidRPr="009400D8">
        <w:rPr>
          <w:rFonts w:cs="Arial"/>
        </w:rPr>
        <w:t>«Инерционный»</w:t>
      </w:r>
      <w:r>
        <w:rPr>
          <w:rFonts w:cs="Arial"/>
        </w:rPr>
        <w:t xml:space="preserve"> </w:t>
      </w:r>
      <w:r w:rsidR="00F40AF9" w:rsidRPr="009400D8">
        <w:rPr>
          <w:rFonts w:cs="Arial"/>
        </w:rPr>
        <w:t>«Прорыв»</w:t>
      </w:r>
    </w:p>
    <w:p w:rsidR="00F40AF9" w:rsidRPr="009400D8" w:rsidRDefault="00DF45BD" w:rsidP="009400D8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44792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>
            <wp:extent cx="2886075" cy="21717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Динамика производства промышленной продукции, в % к 2010 году</w:t>
      </w:r>
    </w:p>
    <w:p w:rsidR="00F40AF9" w:rsidRPr="009400D8" w:rsidRDefault="009400D8" w:rsidP="009400D8">
      <w:pPr>
        <w:rPr>
          <w:rFonts w:cs="Arial"/>
        </w:rPr>
      </w:pPr>
      <w:r>
        <w:rPr>
          <w:rFonts w:cs="Arial"/>
        </w:rPr>
        <w:t xml:space="preserve"> </w:t>
      </w:r>
      <w:r w:rsidR="00F40AF9" w:rsidRPr="009400D8">
        <w:rPr>
          <w:rFonts w:cs="Arial"/>
        </w:rPr>
        <w:t>«Инерционный»</w:t>
      </w:r>
      <w:r>
        <w:rPr>
          <w:rFonts w:cs="Arial"/>
        </w:rPr>
        <w:t xml:space="preserve"> </w:t>
      </w:r>
      <w:r w:rsidR="00F40AF9" w:rsidRPr="009400D8">
        <w:rPr>
          <w:rFonts w:cs="Arial"/>
        </w:rPr>
        <w:t>«Прорыв»</w:t>
      </w:r>
    </w:p>
    <w:p w:rsidR="00F40AF9" w:rsidRPr="009400D8" w:rsidRDefault="00F40AF9" w:rsidP="009400D8">
      <w:pPr>
        <w:rPr>
          <w:rFonts w:cs="Arial"/>
        </w:rPr>
      </w:pPr>
    </w:p>
    <w:p w:rsidR="00F40AF9" w:rsidRPr="009400D8" w:rsidRDefault="00DF45BD" w:rsidP="009400D8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447925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>
            <wp:extent cx="2447925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0AF9" w:rsidRPr="009400D8" w:rsidRDefault="00F40AF9" w:rsidP="009400D8">
      <w:pPr>
        <w:rPr>
          <w:rFonts w:cs="Arial"/>
        </w:rPr>
      </w:pP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Структура занятых основными видами экономической деятельности,</w:t>
      </w:r>
      <w:r w:rsidR="009400D8">
        <w:rPr>
          <w:rFonts w:cs="Arial"/>
        </w:rPr>
        <w:t xml:space="preserve"> 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в % к итогу</w:t>
      </w:r>
    </w:p>
    <w:p w:rsidR="00F40AF9" w:rsidRPr="009400D8" w:rsidRDefault="009400D8" w:rsidP="009400D8">
      <w:pPr>
        <w:rPr>
          <w:rFonts w:cs="Arial"/>
        </w:rPr>
      </w:pPr>
      <w:r>
        <w:rPr>
          <w:rFonts w:cs="Arial"/>
        </w:rPr>
        <w:t xml:space="preserve"> </w:t>
      </w:r>
      <w:r w:rsidR="00F40AF9" w:rsidRPr="009400D8">
        <w:rPr>
          <w:rFonts w:cs="Arial"/>
        </w:rPr>
        <w:t>«Инерционный»</w:t>
      </w:r>
      <w:r>
        <w:rPr>
          <w:rFonts w:cs="Arial"/>
        </w:rPr>
        <w:t xml:space="preserve"> </w:t>
      </w:r>
      <w:r w:rsidR="00F40AF9" w:rsidRPr="009400D8">
        <w:rPr>
          <w:rFonts w:cs="Arial"/>
        </w:rPr>
        <w:t>«Прорыв»</w:t>
      </w:r>
    </w:p>
    <w:p w:rsidR="00F40AF9" w:rsidRPr="009400D8" w:rsidRDefault="00DF45BD" w:rsidP="009400D8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3267075" cy="290512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>
            <wp:extent cx="2657475" cy="29051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0AF9" w:rsidRPr="009400D8" w:rsidRDefault="00F40AF9" w:rsidP="009400D8">
      <w:pPr>
        <w:rPr>
          <w:rFonts w:cs="Arial"/>
        </w:rPr>
      </w:pP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Уровень официально зарегистрированных безработных</w:t>
      </w:r>
    </w:p>
    <w:p w:rsidR="00F40AF9" w:rsidRPr="009400D8" w:rsidRDefault="00F40AF9" w:rsidP="009400D8">
      <w:pPr>
        <w:rPr>
          <w:rFonts w:cs="Arial"/>
        </w:rPr>
      </w:pPr>
      <w:r w:rsidRPr="009400D8">
        <w:rPr>
          <w:rFonts w:cs="Arial"/>
        </w:rPr>
        <w:t>по отношению к трудоспособному населению, %</w:t>
      </w:r>
    </w:p>
    <w:p w:rsidR="00F40AF9" w:rsidRPr="009400D8" w:rsidRDefault="009400D8" w:rsidP="009400D8">
      <w:pPr>
        <w:rPr>
          <w:rFonts w:cs="Arial"/>
        </w:rPr>
      </w:pPr>
      <w:r>
        <w:rPr>
          <w:rFonts w:cs="Arial"/>
        </w:rPr>
        <w:t xml:space="preserve"> </w:t>
      </w:r>
      <w:r w:rsidR="00F40AF9" w:rsidRPr="009400D8">
        <w:rPr>
          <w:rFonts w:cs="Arial"/>
        </w:rPr>
        <w:t>«Инерционный»</w:t>
      </w:r>
      <w:r>
        <w:rPr>
          <w:rFonts w:cs="Arial"/>
        </w:rPr>
        <w:t xml:space="preserve"> </w:t>
      </w:r>
      <w:r w:rsidR="00F40AF9" w:rsidRPr="009400D8">
        <w:rPr>
          <w:rFonts w:cs="Arial"/>
        </w:rPr>
        <w:t>«Прорыв»</w:t>
      </w:r>
    </w:p>
    <w:p w:rsidR="00F40AF9" w:rsidRPr="009400D8" w:rsidRDefault="00DF45BD" w:rsidP="009400D8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581275" cy="18669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>
            <wp:extent cx="2581275" cy="18669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0AF9" w:rsidRPr="009400D8" w:rsidRDefault="00F40AF9" w:rsidP="009400D8">
      <w:pPr>
        <w:rPr>
          <w:rFonts w:cs="Arial"/>
        </w:rPr>
      </w:pPr>
    </w:p>
    <w:p w:rsidR="0024766A" w:rsidRPr="009400D8" w:rsidRDefault="0024766A" w:rsidP="009400D8">
      <w:pPr>
        <w:rPr>
          <w:rFonts w:cs="Arial"/>
        </w:rPr>
      </w:pPr>
      <w:r w:rsidRPr="009400D8">
        <w:rPr>
          <w:rFonts w:cs="Arial"/>
        </w:rPr>
        <w:t>Уровень среднемесячной заработной платы работающих, рублей</w:t>
      </w:r>
    </w:p>
    <w:p w:rsidR="0024766A" w:rsidRPr="009400D8" w:rsidRDefault="009400D8" w:rsidP="009400D8">
      <w:pPr>
        <w:rPr>
          <w:rFonts w:cs="Arial"/>
        </w:rPr>
      </w:pPr>
      <w:r>
        <w:rPr>
          <w:rFonts w:cs="Arial"/>
        </w:rPr>
        <w:t xml:space="preserve"> </w:t>
      </w:r>
      <w:r w:rsidR="0024766A" w:rsidRPr="009400D8">
        <w:rPr>
          <w:rFonts w:cs="Arial"/>
        </w:rPr>
        <w:t>«Инерционный»</w:t>
      </w:r>
      <w:r>
        <w:rPr>
          <w:rFonts w:cs="Arial"/>
        </w:rPr>
        <w:t xml:space="preserve"> </w:t>
      </w:r>
      <w:r w:rsidR="0024766A" w:rsidRPr="009400D8">
        <w:rPr>
          <w:rFonts w:cs="Arial"/>
        </w:rPr>
        <w:t>«Прорыв»</w:t>
      </w:r>
    </w:p>
    <w:p w:rsidR="0024766A" w:rsidRPr="009400D8" w:rsidRDefault="0024766A" w:rsidP="009400D8">
      <w:pPr>
        <w:rPr>
          <w:rFonts w:cs="Arial"/>
        </w:rPr>
      </w:pPr>
    </w:p>
    <w:p w:rsidR="0024766A" w:rsidRPr="009400D8" w:rsidRDefault="00DF45BD" w:rsidP="009400D8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581275" cy="18669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>
            <wp:extent cx="2581275" cy="18669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4766A" w:rsidRPr="009400D8" w:rsidRDefault="0024766A" w:rsidP="009400D8">
      <w:pPr>
        <w:rPr>
          <w:rFonts w:cs="Arial"/>
        </w:rPr>
      </w:pPr>
      <w:r w:rsidRPr="009400D8">
        <w:rPr>
          <w:rFonts w:cs="Arial"/>
        </w:rPr>
        <w:t>Рост доходов муниципального бюджета, % к 2020 году</w:t>
      </w:r>
    </w:p>
    <w:p w:rsidR="0024766A" w:rsidRPr="009400D8" w:rsidRDefault="009400D8" w:rsidP="009400D8">
      <w:pPr>
        <w:rPr>
          <w:rFonts w:cs="Arial"/>
        </w:rPr>
      </w:pPr>
      <w:r>
        <w:rPr>
          <w:rFonts w:cs="Arial"/>
        </w:rPr>
        <w:t xml:space="preserve"> </w:t>
      </w:r>
      <w:r w:rsidR="0024766A" w:rsidRPr="009400D8">
        <w:rPr>
          <w:rFonts w:cs="Arial"/>
        </w:rPr>
        <w:t>«Инерционный»</w:t>
      </w:r>
      <w:r>
        <w:rPr>
          <w:rFonts w:cs="Arial"/>
        </w:rPr>
        <w:t xml:space="preserve"> </w:t>
      </w:r>
      <w:r w:rsidR="0024766A" w:rsidRPr="009400D8">
        <w:rPr>
          <w:rFonts w:cs="Arial"/>
        </w:rPr>
        <w:t>«Прорыв»</w:t>
      </w:r>
    </w:p>
    <w:p w:rsidR="0024766A" w:rsidRPr="009400D8" w:rsidRDefault="00DF45BD" w:rsidP="009400D8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743200" cy="18288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>
            <wp:extent cx="2743200" cy="182880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40AF9" w:rsidRPr="009400D8" w:rsidRDefault="00DF45BD" w:rsidP="009400D8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743200" cy="182880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F40AF9" w:rsidRPr="009400D8" w:rsidSect="009400D8">
      <w:type w:val="continuous"/>
      <w:pgSz w:w="11909" w:h="16838"/>
      <w:pgMar w:top="1134" w:right="851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B0B03A3"/>
    <w:multiLevelType w:val="hybridMultilevel"/>
    <w:tmpl w:val="A3A2FF04"/>
    <w:lvl w:ilvl="0" w:tplc="618E0538">
      <w:start w:val="1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74814EA6"/>
    <w:multiLevelType w:val="hybridMultilevel"/>
    <w:tmpl w:val="DEF2870C"/>
    <w:lvl w:ilvl="0" w:tplc="2F76515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C24784"/>
    <w:rsid w:val="000954D5"/>
    <w:rsid w:val="002072E0"/>
    <w:rsid w:val="0024766A"/>
    <w:rsid w:val="006C35D9"/>
    <w:rsid w:val="008267BB"/>
    <w:rsid w:val="008422FF"/>
    <w:rsid w:val="009400D8"/>
    <w:rsid w:val="009A2279"/>
    <w:rsid w:val="00C24784"/>
    <w:rsid w:val="00DF45BD"/>
    <w:rsid w:val="00F4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F45BD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F45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F45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F45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45B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DF45B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45BD"/>
  </w:style>
  <w:style w:type="character" w:styleId="a3">
    <w:name w:val="Hyperlink"/>
    <w:basedOn w:val="a0"/>
    <w:rsid w:val="00DF45BD"/>
    <w:rPr>
      <w:color w:val="0000FF"/>
      <w:u w:val="none"/>
    </w:rPr>
  </w:style>
  <w:style w:type="character" w:customStyle="1" w:styleId="20">
    <w:name w:val="Основной текст (2)_"/>
    <w:link w:val="21"/>
    <w:rPr>
      <w:rFonts w:ascii="Arial" w:hAnsi="Arial" w:cs="Arial"/>
      <w:b/>
      <w:bCs/>
      <w:sz w:val="23"/>
      <w:szCs w:val="23"/>
      <w:u w:val="none"/>
    </w:rPr>
  </w:style>
  <w:style w:type="character" w:customStyle="1" w:styleId="10">
    <w:name w:val="Заголовок №1_"/>
    <w:link w:val="11"/>
    <w:rPr>
      <w:rFonts w:ascii="Arial" w:hAnsi="Arial" w:cs="Arial"/>
      <w:sz w:val="22"/>
      <w:szCs w:val="22"/>
      <w:u w:val="none"/>
    </w:rPr>
  </w:style>
  <w:style w:type="character" w:customStyle="1" w:styleId="1TimesNewRoman">
    <w:name w:val="Заголовок №1 + Times New Roman"/>
    <w:rPr>
      <w:rFonts w:ascii="Times New Roman" w:hAnsi="Times New Roman" w:cs="Times New Roman"/>
      <w:sz w:val="22"/>
      <w:szCs w:val="22"/>
      <w:u w:val="single"/>
    </w:rPr>
  </w:style>
  <w:style w:type="character" w:customStyle="1" w:styleId="12">
    <w:name w:val="Заголовок №1"/>
    <w:rPr>
      <w:rFonts w:ascii="Arial" w:hAnsi="Arial" w:cs="Arial"/>
      <w:sz w:val="22"/>
      <w:szCs w:val="22"/>
      <w:u w:val="single"/>
    </w:rPr>
  </w:style>
  <w:style w:type="character" w:customStyle="1" w:styleId="21pt">
    <w:name w:val="Основной текст (2) + Интервал 1 pt"/>
    <w:rPr>
      <w:rFonts w:ascii="Arial" w:hAnsi="Arial" w:cs="Arial"/>
      <w:b/>
      <w:bCs/>
      <w:spacing w:val="30"/>
      <w:sz w:val="23"/>
      <w:szCs w:val="23"/>
      <w:u w:val="non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2"/>
      <w:szCs w:val="22"/>
      <w:u w:val="none"/>
    </w:rPr>
  </w:style>
  <w:style w:type="character" w:customStyle="1" w:styleId="Exact">
    <w:name w:val="Основной текст Exact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Exact0">
    <w:name w:val="Подпись к картинке Exact"/>
    <w:link w:val="a6"/>
    <w:rPr>
      <w:rFonts w:ascii="Times New Roman" w:hAnsi="Times New Roman" w:cs="Times New Roman"/>
      <w:spacing w:val="4"/>
      <w:sz w:val="21"/>
      <w:szCs w:val="21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240" w:lineRule="atLeast"/>
      <w:jc w:val="center"/>
    </w:pPr>
    <w:rPr>
      <w:rFonts w:cs="Arial"/>
      <w:b/>
      <w:bCs/>
      <w:sz w:val="23"/>
      <w:szCs w:val="23"/>
    </w:rPr>
  </w:style>
  <w:style w:type="paragraph" w:customStyle="1" w:styleId="11">
    <w:name w:val="Заголовок №11"/>
    <w:basedOn w:val="a"/>
    <w:link w:val="10"/>
    <w:pPr>
      <w:shd w:val="clear" w:color="auto" w:fill="FFFFFF"/>
      <w:spacing w:after="300" w:line="274" w:lineRule="exact"/>
      <w:jc w:val="center"/>
      <w:outlineLvl w:val="0"/>
    </w:pPr>
    <w:rPr>
      <w:rFonts w:cs="Arial"/>
      <w:sz w:val="22"/>
      <w:szCs w:val="22"/>
    </w:rPr>
  </w:style>
  <w:style w:type="paragraph" w:styleId="a5">
    <w:name w:val="Body Text"/>
    <w:basedOn w:val="a"/>
    <w:link w:val="a4"/>
    <w:pPr>
      <w:shd w:val="clear" w:color="auto" w:fill="FFFFFF"/>
      <w:spacing w:before="300" w:after="300" w:line="274" w:lineRule="exact"/>
    </w:pPr>
    <w:rPr>
      <w:rFonts w:ascii="Times New Roman" w:hAnsi="Times New Roman"/>
      <w:sz w:val="22"/>
      <w:szCs w:val="22"/>
    </w:rPr>
  </w:style>
  <w:style w:type="paragraph" w:customStyle="1" w:styleId="a6">
    <w:name w:val="Подпись к картинке"/>
    <w:basedOn w:val="a"/>
    <w:link w:val="Exact0"/>
    <w:pPr>
      <w:shd w:val="clear" w:color="auto" w:fill="FFFFFF"/>
      <w:spacing w:line="240" w:lineRule="atLeast"/>
    </w:pPr>
    <w:rPr>
      <w:rFonts w:ascii="Times New Roman" w:hAnsi="Times New Roman"/>
      <w:spacing w:val="4"/>
      <w:sz w:val="21"/>
      <w:szCs w:val="21"/>
    </w:rPr>
  </w:style>
  <w:style w:type="paragraph" w:styleId="a7">
    <w:name w:val="Body Text Indent"/>
    <w:basedOn w:val="a"/>
    <w:rsid w:val="00F40AF9"/>
    <w:pPr>
      <w:spacing w:after="120"/>
      <w:ind w:left="283"/>
    </w:pPr>
  </w:style>
  <w:style w:type="paragraph" w:styleId="a8">
    <w:name w:val="footer"/>
    <w:basedOn w:val="a"/>
    <w:rsid w:val="00F40AF9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F40AF9"/>
    <w:pPr>
      <w:jc w:val="center"/>
    </w:pPr>
    <w:rPr>
      <w:rFonts w:ascii="Times New Roman" w:hAnsi="Times New Roman"/>
      <w:b/>
      <w:bCs/>
      <w:sz w:val="28"/>
    </w:rPr>
  </w:style>
  <w:style w:type="paragraph" w:styleId="22">
    <w:name w:val="Body Text 2"/>
    <w:basedOn w:val="a"/>
    <w:rsid w:val="00F40AF9"/>
    <w:pPr>
      <w:spacing w:after="120" w:line="480" w:lineRule="auto"/>
    </w:pPr>
  </w:style>
  <w:style w:type="character" w:styleId="ab">
    <w:name w:val="Emphasis"/>
    <w:qFormat/>
    <w:rsid w:val="00F40AF9"/>
    <w:rPr>
      <w:i/>
      <w:iCs/>
    </w:rPr>
  </w:style>
  <w:style w:type="paragraph" w:customStyle="1" w:styleId="BodyTextIndent3">
    <w:name w:val="Body Text Indent 3"/>
    <w:basedOn w:val="a"/>
    <w:rsid w:val="00F40AF9"/>
    <w:pPr>
      <w:spacing w:before="120" w:line="360" w:lineRule="auto"/>
    </w:pPr>
    <w:rPr>
      <w:rFonts w:ascii="TimesDL" w:hAnsi="TimesDL"/>
      <w:sz w:val="28"/>
      <w:szCs w:val="20"/>
    </w:rPr>
  </w:style>
  <w:style w:type="paragraph" w:styleId="ac">
    <w:name w:val="Subtitle"/>
    <w:basedOn w:val="a"/>
    <w:qFormat/>
    <w:rsid w:val="00F40AF9"/>
    <w:pPr>
      <w:spacing w:before="240"/>
      <w:ind w:firstLine="851"/>
    </w:pPr>
    <w:rPr>
      <w:rFonts w:ascii="Times New Roman" w:hAnsi="Times New Roman"/>
      <w:sz w:val="28"/>
      <w:szCs w:val="20"/>
    </w:rPr>
  </w:style>
  <w:style w:type="paragraph" w:customStyle="1" w:styleId="BodyTextIndent2">
    <w:name w:val="Body Text Indent 2"/>
    <w:basedOn w:val="a"/>
    <w:rsid w:val="00F40AF9"/>
    <w:pPr>
      <w:ind w:firstLine="851"/>
    </w:pPr>
    <w:rPr>
      <w:rFonts w:ascii="Times New Roman" w:hAnsi="Times New Roman"/>
      <w:sz w:val="28"/>
      <w:szCs w:val="20"/>
    </w:rPr>
  </w:style>
  <w:style w:type="paragraph" w:customStyle="1" w:styleId="BodyText2">
    <w:name w:val="Body Text 2"/>
    <w:basedOn w:val="a"/>
    <w:rsid w:val="00F40AF9"/>
    <w:rPr>
      <w:rFonts w:ascii="Times New Roman" w:hAnsi="Times New Roman"/>
      <w:sz w:val="28"/>
      <w:szCs w:val="20"/>
    </w:rPr>
  </w:style>
  <w:style w:type="character" w:customStyle="1" w:styleId="212">
    <w:name w:val="Основной текст (2) + 12"/>
    <w:aliases w:val="5 pt,Полужирный"/>
    <w:rsid w:val="002072E0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121">
    <w:name w:val="Основной текст (2) + 121"/>
    <w:aliases w:val="5 pt1,Полужирный1"/>
    <w:rsid w:val="002072E0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12pt">
    <w:name w:val="Основной текст (2) + 12 pt"/>
    <w:rsid w:val="002072E0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30">
    <w:name w:val="Основной текст (3)_"/>
    <w:link w:val="31"/>
    <w:rsid w:val="002072E0"/>
    <w:rPr>
      <w:b/>
      <w:bCs/>
      <w:sz w:val="25"/>
      <w:szCs w:val="25"/>
      <w:lang w:bidi="ar-SA"/>
    </w:rPr>
  </w:style>
  <w:style w:type="paragraph" w:customStyle="1" w:styleId="31">
    <w:name w:val="Основной текст (3)"/>
    <w:basedOn w:val="a"/>
    <w:link w:val="30"/>
    <w:rsid w:val="002072E0"/>
    <w:pPr>
      <w:shd w:val="clear" w:color="auto" w:fill="FFFFFF"/>
      <w:spacing w:after="420" w:line="322" w:lineRule="exact"/>
      <w:ind w:firstLine="560"/>
    </w:pPr>
    <w:rPr>
      <w:rFonts w:ascii="Times New Roman" w:hAnsi="Times New Roman"/>
      <w:b/>
      <w:bCs/>
      <w:sz w:val="25"/>
      <w:szCs w:val="25"/>
      <w:lang w:val="ru-RU" w:eastAsia="ru-RU"/>
    </w:rPr>
  </w:style>
  <w:style w:type="character" w:customStyle="1" w:styleId="aa">
    <w:name w:val="Название Знак"/>
    <w:link w:val="a9"/>
    <w:locked/>
    <w:rsid w:val="009A2279"/>
    <w:rPr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9400D8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F45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DF45B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400D8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DF45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45B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45B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45B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45B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F45B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99.77:8080/content/act/1bc6464d-1df9-4503-be2d-c2935e39ef0d.doc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chart" Target="charts/chart12.xml"/><Relationship Id="rId7" Type="http://schemas.openxmlformats.org/officeDocument/2006/relationships/hyperlink" Target="http://zakon.scli.ru/ru/legal_texts/index.php" TargetMode="Externa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/content/act/d8e756c4-0cff-414c-b50c-93b320f601c6.html" TargetMode="Externa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hyperlink" Target="http://zakon.scli.ru/ru/legal_texts/index.php" TargetMode="Externa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hyperlink" Target="http://192.168.99.77:8080/content/act/3d5aec09-1df6-4ad9-be2b-015249ef3aae.doc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7813765182186236"/>
          <c:y val="0.12087912087912089"/>
          <c:w val="0.78542510121457498"/>
          <c:h val="0.65934065934065944"/>
        </c:manualLayout>
      </c:layout>
      <c:lineChart>
        <c:grouping val="stack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38099">
              <a:solidFill>
                <a:srgbClr val="339966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2006г.</c:v>
                </c:pt>
                <c:pt idx="1">
                  <c:v>2012г.</c:v>
                </c:pt>
                <c:pt idx="2">
                  <c:v>2020г.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115</c:v>
                </c:pt>
                <c:pt idx="2">
                  <c:v>150</c:v>
                </c:pt>
              </c:numCache>
            </c:numRef>
          </c:val>
        </c:ser>
        <c:marker val="1"/>
        <c:axId val="259839104"/>
        <c:axId val="259840640"/>
      </c:lineChart>
      <c:catAx>
        <c:axId val="2598391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59840640"/>
        <c:crosses val="autoZero"/>
        <c:auto val="1"/>
        <c:lblAlgn val="ctr"/>
        <c:lblOffset val="100"/>
        <c:tickLblSkip val="1"/>
        <c:tickMarkSkip val="1"/>
      </c:catAx>
      <c:valAx>
        <c:axId val="259840640"/>
        <c:scaling>
          <c:orientation val="minMax"/>
          <c:max val="190"/>
          <c:min val="90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59839104"/>
        <c:crosses val="autoZero"/>
        <c:crossBetween val="between"/>
        <c:majorUnit val="25"/>
      </c:valAx>
      <c:spPr>
        <a:noFill/>
        <a:ln w="2539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9540229885057475"/>
          <c:y val="5.3763440860215075E-2"/>
          <c:w val="0.7931034482758621"/>
          <c:h val="0.698924731182795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2010г.</c:v>
                </c:pt>
              </c:strCache>
            </c:strRef>
          </c:tx>
          <c:spPr>
            <a:gradFill rotWithShape="0">
              <a:gsLst>
                <a:gs pos="0">
                  <a:srgbClr val="FFFF00"/>
                </a:gs>
                <a:gs pos="50000">
                  <a:srgbClr val="FFFFCC"/>
                </a:gs>
                <a:gs pos="100000">
                  <a:srgbClr val="FFFF0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40996168582375486"/>
                  <c:y val="0.36559139784946243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10681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2020г.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CCFFFF"/>
                </a:gs>
                <a:gs pos="100000">
                  <a:srgbClr val="9999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62452107279693492"/>
                  <c:y val="5.3763440860215075E-2"/>
                </c:manualLayout>
              </c:layout>
              <c:showVal val="1"/>
            </c:dLbl>
            <c:numFmt formatCode="General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26200</c:v>
                </c:pt>
              </c:numCache>
            </c:numRef>
          </c:val>
          <c:shape val="pyramid"/>
        </c:ser>
        <c:dLbls>
          <c:showVal val="1"/>
        </c:dLbls>
        <c:gapDepth val="0"/>
        <c:shape val="box"/>
        <c:axId val="36358016"/>
        <c:axId val="36364288"/>
        <c:axId val="0"/>
      </c:bar3DChart>
      <c:catAx>
        <c:axId val="363580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2010г.    2020г</a:t>
                </a:r>
              </a:p>
            </c:rich>
          </c:tx>
          <c:layout>
            <c:manualLayout>
              <c:xMode val="edge"/>
              <c:yMode val="edge"/>
              <c:x val="0.39080459770114956"/>
              <c:y val="0.79032258064516114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6364288"/>
        <c:crosses val="autoZero"/>
        <c:auto val="1"/>
        <c:lblAlgn val="ctr"/>
        <c:lblOffset val="100"/>
        <c:tickLblSkip val="1"/>
        <c:tickMarkSkip val="1"/>
      </c:catAx>
      <c:valAx>
        <c:axId val="36364288"/>
        <c:scaling>
          <c:orientation val="minMax"/>
          <c:max val="30000"/>
          <c:min val="2500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6358016"/>
        <c:crosses val="autoZero"/>
        <c:crossBetween val="between"/>
        <c:majorUnit val="10000"/>
        <c:minorUnit val="5000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5827338129496407"/>
          <c:y val="0.12087912087912089"/>
          <c:w val="0.80935251798561147"/>
          <c:h val="0.65934065934065944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38100">
              <a:solidFill>
                <a:srgbClr val="339966"/>
              </a:solidFill>
              <a:prstDash val="solid"/>
            </a:ln>
          </c:spPr>
          <c:marker>
            <c:symbol val="square"/>
            <c:size val="9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  <c:pt idx="1">
                  <c:v>250</c:v>
                </c:pt>
              </c:numCache>
            </c:numRef>
          </c:val>
        </c:ser>
        <c:marker val="1"/>
        <c:axId val="272541952"/>
        <c:axId val="273724160"/>
      </c:lineChart>
      <c:catAx>
        <c:axId val="27254195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73724160"/>
        <c:crosses val="autoZero"/>
        <c:auto val="1"/>
        <c:lblAlgn val="ctr"/>
        <c:lblOffset val="100"/>
        <c:tickLblSkip val="1"/>
        <c:tickMarkSkip val="1"/>
      </c:catAx>
      <c:valAx>
        <c:axId val="273724160"/>
        <c:scaling>
          <c:orientation val="minMax"/>
          <c:max val="350"/>
          <c:min val="90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72541952"/>
        <c:crosses val="autoZero"/>
        <c:crossBetween val="between"/>
        <c:majorUnit val="100"/>
        <c:minorUnit val="50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5827338129496407"/>
          <c:y val="0.12087912087912089"/>
          <c:w val="0.80935251798561147"/>
          <c:h val="0.65934065934065944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38100">
              <a:solidFill>
                <a:srgbClr val="339966"/>
              </a:solidFill>
              <a:prstDash val="solid"/>
            </a:ln>
          </c:spPr>
          <c:marker>
            <c:symbol val="square"/>
            <c:size val="9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  <c:pt idx="1">
                  <c:v>300</c:v>
                </c:pt>
              </c:numCache>
            </c:numRef>
          </c:val>
        </c:ser>
        <c:marker val="1"/>
        <c:axId val="231640064"/>
        <c:axId val="232705024"/>
      </c:lineChart>
      <c:catAx>
        <c:axId val="2316400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2705024"/>
        <c:crosses val="autoZero"/>
        <c:auto val="1"/>
        <c:lblAlgn val="ctr"/>
        <c:lblOffset val="100"/>
        <c:tickLblSkip val="1"/>
        <c:tickMarkSkip val="1"/>
      </c:catAx>
      <c:valAx>
        <c:axId val="232705024"/>
        <c:scaling>
          <c:orientation val="minMax"/>
          <c:max val="350"/>
          <c:min val="90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1640064"/>
        <c:crosses val="autoZero"/>
        <c:crossBetween val="between"/>
        <c:majorUnit val="100"/>
        <c:minorUnit val="50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827338129496407"/>
          <c:y val="0.12087912087912089"/>
          <c:w val="0.80935251798561147"/>
          <c:h val="0.65934065934065944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38100">
              <a:solidFill>
                <a:srgbClr val="339966"/>
              </a:solidFill>
              <a:prstDash val="solid"/>
            </a:ln>
          </c:spPr>
          <c:marker>
            <c:symbol val="square"/>
            <c:size val="9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  <c:pt idx="1">
                  <c:v>300</c:v>
                </c:pt>
              </c:numCache>
            </c:numRef>
          </c:val>
        </c:ser>
        <c:marker val="1"/>
        <c:axId val="202908032"/>
        <c:axId val="202937088"/>
      </c:lineChart>
      <c:catAx>
        <c:axId val="2029080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2937088"/>
        <c:crosses val="autoZero"/>
        <c:auto val="1"/>
        <c:lblAlgn val="ctr"/>
        <c:lblOffset val="100"/>
        <c:tickLblSkip val="1"/>
        <c:tickMarkSkip val="1"/>
      </c:catAx>
      <c:valAx>
        <c:axId val="202937088"/>
        <c:scaling>
          <c:orientation val="minMax"/>
          <c:max val="350"/>
          <c:min val="90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2908032"/>
        <c:crosses val="autoZero"/>
        <c:crossBetween val="between"/>
        <c:majorUnit val="100"/>
        <c:minorUnit val="50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8430034129692838"/>
          <c:y val="0.11009174311926606"/>
          <c:w val="0.78498293515358364"/>
          <c:h val="0.6834862385321101"/>
        </c:manualLayout>
      </c:layout>
      <c:lineChart>
        <c:grouping val="stack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38097">
              <a:solidFill>
                <a:srgbClr val="339966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2010г.</c:v>
                </c:pt>
                <c:pt idx="1">
                  <c:v>2012г.</c:v>
                </c:pt>
                <c:pt idx="2">
                  <c:v>2020г.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115</c:v>
                </c:pt>
                <c:pt idx="2">
                  <c:v>191</c:v>
                </c:pt>
              </c:numCache>
            </c:numRef>
          </c:val>
        </c:ser>
        <c:marker val="1"/>
        <c:axId val="259506560"/>
        <c:axId val="259508096"/>
      </c:lineChart>
      <c:catAx>
        <c:axId val="2595065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59508096"/>
        <c:crosses val="autoZero"/>
        <c:auto val="1"/>
        <c:lblAlgn val="ctr"/>
        <c:lblOffset val="100"/>
        <c:tickLblSkip val="1"/>
        <c:tickMarkSkip val="1"/>
      </c:catAx>
      <c:valAx>
        <c:axId val="259508096"/>
        <c:scaling>
          <c:orientation val="minMax"/>
          <c:max val="195"/>
          <c:min val="90"/>
        </c:scaling>
        <c:axPos val="l"/>
        <c:majorGridlines>
          <c:spPr>
            <a:ln w="12699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59506560"/>
        <c:crosses val="autoZero"/>
        <c:crossBetween val="between"/>
        <c:majorUnit val="25"/>
      </c:valAx>
      <c:spPr>
        <a:noFill/>
        <a:ln w="25398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813765182186236"/>
          <c:y val="0.12087912087912089"/>
          <c:w val="0.78542510121457498"/>
          <c:h val="0.65934065934065944"/>
        </c:manualLayout>
      </c:layout>
      <c:lineChart>
        <c:grouping val="stack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38099">
              <a:solidFill>
                <a:srgbClr val="666699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33198380566801633"/>
                  <c:y val="0.59340659340659341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7489878542510131"/>
                  <c:y val="0.56593406593406581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81781376518218618"/>
                  <c:y val="0.51098901098901095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2010г.</c:v>
                </c:pt>
                <c:pt idx="1">
                  <c:v>2012г.</c:v>
                </c:pt>
                <c:pt idx="2">
                  <c:v>2020г.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113</c:v>
                </c:pt>
                <c:pt idx="2">
                  <c:v>145</c:v>
                </c:pt>
              </c:numCache>
            </c:numRef>
          </c:val>
        </c:ser>
        <c:marker val="1"/>
        <c:axId val="259476864"/>
        <c:axId val="259486848"/>
      </c:lineChart>
      <c:catAx>
        <c:axId val="2594768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59486848"/>
        <c:crosses val="autoZero"/>
        <c:auto val="1"/>
        <c:lblAlgn val="ctr"/>
        <c:lblOffset val="100"/>
        <c:tickLblSkip val="1"/>
        <c:tickMarkSkip val="1"/>
      </c:catAx>
      <c:valAx>
        <c:axId val="259486848"/>
        <c:scaling>
          <c:orientation val="minMax"/>
          <c:max val="450"/>
          <c:min val="90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59476864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813765182186236"/>
          <c:y val="0.12087912087912089"/>
          <c:w val="0.78542510121457498"/>
          <c:h val="0.65934065934065944"/>
        </c:manualLayout>
      </c:layout>
      <c:lineChart>
        <c:grouping val="stack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38099">
              <a:solidFill>
                <a:srgbClr val="666699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3076923076923084"/>
                  <c:y val="0.60439560439560458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4939271255060731"/>
                  <c:y val="0.56043956043956045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80161943319838092"/>
                  <c:y val="0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2010г.</c:v>
                </c:pt>
                <c:pt idx="1">
                  <c:v>2012г.</c:v>
                </c:pt>
                <c:pt idx="2">
                  <c:v>2020г.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127</c:v>
                </c:pt>
                <c:pt idx="2">
                  <c:v>447</c:v>
                </c:pt>
              </c:numCache>
            </c:numRef>
          </c:val>
        </c:ser>
        <c:marker val="1"/>
        <c:axId val="258640512"/>
        <c:axId val="258642304"/>
      </c:lineChart>
      <c:catAx>
        <c:axId val="2586405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58642304"/>
        <c:crosses val="autoZero"/>
        <c:auto val="1"/>
        <c:lblAlgn val="ctr"/>
        <c:lblOffset val="100"/>
        <c:tickLblSkip val="1"/>
        <c:tickMarkSkip val="1"/>
      </c:catAx>
      <c:valAx>
        <c:axId val="258642304"/>
        <c:scaling>
          <c:orientation val="minMax"/>
          <c:max val="450"/>
          <c:min val="90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58640512"/>
        <c:crosses val="autoZero"/>
        <c:crossBetween val="between"/>
        <c:minorUnit val="50"/>
      </c:valAx>
      <c:spPr>
        <a:noFill/>
        <a:ln w="2539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321321321321321"/>
          <c:y val="7.4576271186440696E-2"/>
          <c:w val="0.45045045045045046"/>
          <c:h val="0.78644067796610173"/>
        </c:manualLayout>
      </c:layout>
      <c:barChart>
        <c:barDir val="col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сельское хозяйство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31.1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промышленность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8</c:v>
                </c:pt>
                <c:pt idx="1">
                  <c:v>8.9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транспорт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5.3</c:v>
                </c:pt>
                <c:pt idx="1">
                  <c:v>5.0999999999999996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связь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2.2000000000000002</c:v>
                </c:pt>
                <c:pt idx="1">
                  <c:v>2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0.5</c:v>
                </c:pt>
                <c:pt idx="1">
                  <c:v>0.60000000000000009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торговля и общественное питание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4</c:v>
                </c:pt>
                <c:pt idx="1">
                  <c:v>4.3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Sheet1!$B$8:$C$8</c:f>
              <c:numCache>
                <c:formatCode>General</c:formatCode>
                <c:ptCount val="2"/>
                <c:pt idx="0">
                  <c:v>4.5</c:v>
                </c:pt>
                <c:pt idx="1">
                  <c:v>4.5999999999999996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туристический бизнес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Sheet1!$B$9:$C$9</c:f>
              <c:numCache>
                <c:formatCode>General</c:formatCode>
                <c:ptCount val="2"/>
                <c:pt idx="0">
                  <c:v>0</c:v>
                </c:pt>
                <c:pt idx="1">
                  <c:v>0.8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здравоохранение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Sheet1!$B$10:$C$10</c:f>
              <c:numCache>
                <c:formatCode>General</c:formatCode>
                <c:ptCount val="2"/>
                <c:pt idx="0">
                  <c:v>8</c:v>
                </c:pt>
                <c:pt idx="1">
                  <c:v>8.2000000000000011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Sheet1!$B$11:$C$11</c:f>
              <c:numCache>
                <c:formatCode>General</c:formatCode>
                <c:ptCount val="2"/>
                <c:pt idx="0">
                  <c:v>20</c:v>
                </c:pt>
                <c:pt idx="1">
                  <c:v>19.399999999999999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Sheet1!$B$12:$C$12</c:f>
              <c:numCache>
                <c:formatCode>General</c:formatCode>
                <c:ptCount val="2"/>
                <c:pt idx="0">
                  <c:v>3.4</c:v>
                </c:pt>
                <c:pt idx="1">
                  <c:v>3.4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управление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Sheet1!$B$13:$C$13</c:f>
              <c:numCache>
                <c:formatCode>General</c:formatCode>
                <c:ptCount val="2"/>
                <c:pt idx="0">
                  <c:v>5.6</c:v>
                </c:pt>
                <c:pt idx="1">
                  <c:v>6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Sheet1!$B$14:$C$14</c:f>
              <c:numCache>
                <c:formatCode>General</c:formatCode>
                <c:ptCount val="2"/>
                <c:pt idx="0">
                  <c:v>7.4</c:v>
                </c:pt>
                <c:pt idx="1">
                  <c:v>5.7</c:v>
                </c:pt>
              </c:numCache>
            </c:numRef>
          </c:val>
        </c:ser>
        <c:dLbls>
          <c:showVal val="1"/>
        </c:dLbls>
        <c:overlap val="100"/>
        <c:axId val="232564608"/>
        <c:axId val="232566144"/>
      </c:barChart>
      <c:catAx>
        <c:axId val="2325646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2566144"/>
        <c:crosses val="autoZero"/>
        <c:auto val="1"/>
        <c:lblAlgn val="ctr"/>
        <c:lblOffset val="100"/>
        <c:tickLblSkip val="1"/>
        <c:tickMarkSkip val="1"/>
      </c:catAx>
      <c:valAx>
        <c:axId val="232566144"/>
        <c:scaling>
          <c:orientation val="minMax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25646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spPr>
        <a:noFill/>
        <a:ln w="25399">
          <a:noFill/>
        </a:ln>
      </c:spPr>
      <c:txPr>
        <a:bodyPr/>
        <a:lstStyle/>
        <a:p>
          <a:pPr>
            <a:defRPr sz="55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602230483271375"/>
          <c:y val="7.4576271186440696E-2"/>
          <c:w val="0.59851301115241629"/>
          <c:h val="0.76949152542372889"/>
        </c:manualLayout>
      </c:layout>
      <c:barChart>
        <c:barDir val="col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сельское хозяйство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31.1</c:v>
                </c:pt>
                <c:pt idx="1">
                  <c:v>29.2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промышленность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8</c:v>
                </c:pt>
                <c:pt idx="1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транспорт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5.3</c:v>
                </c:pt>
                <c:pt idx="1">
                  <c:v>4.8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связь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2.2000000000000002</c:v>
                </c:pt>
                <c:pt idx="1">
                  <c:v>1.9000000000000001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0.5</c:v>
                </c:pt>
                <c:pt idx="1">
                  <c:v>0.60000000000000009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торговля и общественное питание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4</c:v>
                </c:pt>
                <c:pt idx="1">
                  <c:v>4.3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Sheet1!$B$8:$C$8</c:f>
              <c:numCache>
                <c:formatCode>General</c:formatCode>
                <c:ptCount val="2"/>
                <c:pt idx="0">
                  <c:v>4.5</c:v>
                </c:pt>
                <c:pt idx="1">
                  <c:v>4.3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туристический бизнес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Sheet1!$B$9:$C$9</c:f>
              <c:numCache>
                <c:formatCode>General</c:formatCode>
                <c:ptCount val="2"/>
                <c:pt idx="0">
                  <c:v>0</c:v>
                </c:pt>
                <c:pt idx="1">
                  <c:v>0.9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здравоохранение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Sheet1!$B$10:$C$10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Sheet1!$B$11:$C$11</c:f>
              <c:numCache>
                <c:formatCode>General</c:formatCode>
                <c:ptCount val="2"/>
                <c:pt idx="0">
                  <c:v>20</c:v>
                </c:pt>
                <c:pt idx="1">
                  <c:v>18.2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Sheet1!$B$12:$C$12</c:f>
              <c:numCache>
                <c:formatCode>General</c:formatCode>
                <c:ptCount val="2"/>
                <c:pt idx="0">
                  <c:v>3.4</c:v>
                </c:pt>
                <c:pt idx="1">
                  <c:v>3.2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управление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Sheet1!$B$13:$C$13</c:f>
              <c:numCache>
                <c:formatCode>General</c:formatCode>
                <c:ptCount val="2"/>
                <c:pt idx="0">
                  <c:v>5.6</c:v>
                </c:pt>
                <c:pt idx="1">
                  <c:v>5.6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2010г.</c:v>
                </c:pt>
                <c:pt idx="1">
                  <c:v>2020г.</c:v>
                </c:pt>
              </c:strCache>
            </c:strRef>
          </c:cat>
          <c:val>
            <c:numRef>
              <c:f>Sheet1!$B$14:$C$14</c:f>
              <c:numCache>
                <c:formatCode>General</c:formatCode>
                <c:ptCount val="2"/>
                <c:pt idx="0">
                  <c:v>7.4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overlap val="100"/>
        <c:axId val="231475840"/>
        <c:axId val="231498112"/>
      </c:barChart>
      <c:catAx>
        <c:axId val="23147584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1498112"/>
        <c:crosses val="autoZero"/>
        <c:auto val="1"/>
        <c:lblAlgn val="ctr"/>
        <c:lblOffset val="100"/>
        <c:tickLblSkip val="1"/>
        <c:tickMarkSkip val="1"/>
      </c:catAx>
      <c:valAx>
        <c:axId val="231498112"/>
        <c:scaling>
          <c:orientation val="minMax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1475840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8122605363984682E-2"/>
          <c:y val="5.3763440860215075E-2"/>
          <c:w val="0.86973180076628365"/>
          <c:h val="0.698924731182795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2010год</c:v>
                </c:pt>
              </c:strCache>
            </c:strRef>
          </c:tx>
          <c:spPr>
            <a:gradFill rotWithShape="0">
              <a:gsLst>
                <a:gs pos="0">
                  <a:srgbClr val="339966"/>
                </a:gs>
                <a:gs pos="50000">
                  <a:srgbClr val="CCFFCC"/>
                </a:gs>
                <a:gs pos="100000">
                  <a:srgbClr val="339966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6015325670498083"/>
                  <c:y val="0.58064516129032251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2020год</c:v>
                </c:pt>
              </c:strCache>
            </c:strRef>
          </c:tx>
          <c:spPr>
            <a:gradFill rotWithShape="0">
              <a:gsLst>
                <a:gs pos="0">
                  <a:srgbClr val="FFFF00"/>
                </a:gs>
                <a:gs pos="50000">
                  <a:srgbClr val="FFFFCC"/>
                </a:gs>
                <a:gs pos="100000">
                  <a:srgbClr val="FFFF0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54406130268199249"/>
                  <c:y val="0.61290322580645151"/>
                </c:manualLayout>
              </c:layout>
              <c:numFmt formatCode="General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Val val="1"/>
            </c:dLbl>
            <c:numFmt formatCode="0.0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dLbls>
          <c:showVal val="1"/>
        </c:dLbls>
        <c:gapDepth val="0"/>
        <c:shape val="box"/>
        <c:axId val="192535552"/>
        <c:axId val="202957952"/>
        <c:axId val="0"/>
      </c:bar3DChart>
      <c:catAx>
        <c:axId val="1925355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2010г.    2020г.</a:t>
                </a:r>
              </a:p>
            </c:rich>
          </c:tx>
          <c:layout>
            <c:manualLayout>
              <c:xMode val="edge"/>
              <c:yMode val="edge"/>
              <c:x val="0.31800766283524917"/>
              <c:y val="0.84408602150537648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2957952"/>
        <c:crosses val="autoZero"/>
        <c:auto val="1"/>
        <c:lblAlgn val="ctr"/>
        <c:lblOffset val="100"/>
        <c:tickLblSkip val="1"/>
        <c:tickMarkSkip val="1"/>
      </c:catAx>
      <c:valAx>
        <c:axId val="202957952"/>
        <c:scaling>
          <c:orientation val="minMax"/>
          <c:max val="7"/>
          <c:min val="0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92535552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4291187739463605E-2"/>
          <c:y val="0.10215053763440859"/>
          <c:w val="0.86973180076628365"/>
          <c:h val="0.7043010752688173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2010г.</c:v>
                </c:pt>
              </c:strCache>
            </c:strRef>
          </c:tx>
          <c:spPr>
            <a:gradFill rotWithShape="0">
              <a:gsLst>
                <a:gs pos="0">
                  <a:srgbClr val="339966"/>
                </a:gs>
                <a:gs pos="50000">
                  <a:srgbClr val="CCFFCC"/>
                </a:gs>
                <a:gs pos="100000">
                  <a:srgbClr val="339966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5249042145593867"/>
                  <c:y val="0.63440860215053774"/>
                </c:manualLayout>
              </c:layout>
              <c:tx>
                <c:rich>
                  <a:bodyPr/>
                  <a:lstStyle/>
                  <a:p>
                    <a:r>
                      <a:t>2,7</a:t>
                    </a:r>
                  </a:p>
                </c:rich>
              </c:tx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2020г.</c:v>
                </c:pt>
              </c:strCache>
            </c:strRef>
          </c:tx>
          <c:spPr>
            <a:gradFill rotWithShape="0">
              <a:gsLst>
                <a:gs pos="0">
                  <a:srgbClr val="FFFF00"/>
                </a:gs>
                <a:gs pos="50000">
                  <a:srgbClr val="FFFFCC"/>
                </a:gs>
                <a:gs pos="100000">
                  <a:srgbClr val="FFFF0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55172413793103459"/>
                  <c:y val="0.67741935483870963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1,2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</c:dLbl>
            <c:numFmt formatCode="General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@</c:formatCode>
                <c:ptCount val="1"/>
                <c:pt idx="0">
                  <c:v>1.2</c:v>
                </c:pt>
              </c:numCache>
            </c:numRef>
          </c:val>
        </c:ser>
        <c:dLbls>
          <c:showVal val="1"/>
        </c:dLbls>
        <c:gapDepth val="0"/>
        <c:shape val="box"/>
        <c:axId val="192524288"/>
        <c:axId val="192526208"/>
        <c:axId val="0"/>
      </c:bar3DChart>
      <c:catAx>
        <c:axId val="192524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2010г.    2020г.</a:t>
                </a:r>
              </a:p>
            </c:rich>
          </c:tx>
          <c:layout>
            <c:manualLayout>
              <c:xMode val="edge"/>
              <c:yMode val="edge"/>
              <c:x val="0.32183908045977017"/>
              <c:y val="0.8763440860215056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92526208"/>
        <c:crosses val="autoZero"/>
        <c:auto val="1"/>
        <c:lblAlgn val="ctr"/>
        <c:lblOffset val="100"/>
        <c:tickLblSkip val="1"/>
        <c:tickMarkSkip val="1"/>
      </c:catAx>
      <c:valAx>
        <c:axId val="192526208"/>
        <c:scaling>
          <c:orientation val="minMax"/>
          <c:max val="7"/>
          <c:min val="0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92524288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9540229885057475"/>
          <c:y val="5.3763440860215075E-2"/>
          <c:w val="0.7931034482758621"/>
          <c:h val="0.698924731182795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2010г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CCFFFF"/>
                </a:gs>
                <a:gs pos="100000">
                  <a:srgbClr val="9999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FFFF00"/>
                  </a:gs>
                  <a:gs pos="50000">
                    <a:srgbClr val="FFFFCC"/>
                  </a:gs>
                  <a:gs pos="100000">
                    <a:srgbClr val="FFFF00"/>
                  </a:gs>
                </a:gsLst>
                <a:lin ang="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40613026819923376"/>
                  <c:y val="0.39784946236559143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10681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2020г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CCFFFF"/>
                </a:gs>
                <a:gs pos="100000">
                  <a:srgbClr val="9999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61685823754789293"/>
                  <c:y val="0.23655913978494628"/>
                </c:manualLayout>
              </c:layout>
              <c:showVal val="1"/>
            </c:dLbl>
            <c:numFmt formatCode="General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17500</c:v>
                </c:pt>
              </c:numCache>
            </c:numRef>
          </c:val>
          <c:shape val="pyramid"/>
        </c:ser>
        <c:dLbls>
          <c:showVal val="1"/>
        </c:dLbls>
        <c:gapDepth val="0"/>
        <c:shape val="box"/>
        <c:axId val="183706752"/>
        <c:axId val="183708672"/>
        <c:axId val="0"/>
      </c:bar3DChart>
      <c:catAx>
        <c:axId val="1837067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2010г.    2020г.</a:t>
                </a:r>
              </a:p>
            </c:rich>
          </c:tx>
          <c:layout>
            <c:manualLayout>
              <c:xMode val="edge"/>
              <c:yMode val="edge"/>
              <c:x val="0.38314176245210735"/>
              <c:y val="0.79032258064516114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83708672"/>
        <c:crosses val="autoZero"/>
        <c:auto val="1"/>
        <c:lblAlgn val="ctr"/>
        <c:lblOffset val="100"/>
        <c:tickLblSkip val="1"/>
        <c:tickMarkSkip val="1"/>
      </c:catAx>
      <c:valAx>
        <c:axId val="183708672"/>
        <c:scaling>
          <c:orientation val="minMax"/>
          <c:max val="30000"/>
          <c:min val="2500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83706752"/>
        <c:crosses val="autoZero"/>
        <c:crossBetween val="between"/>
        <c:majorUnit val="10000"/>
        <c:minorUnit val="5000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</cdr:x>
      <cdr:y>0.5005</cdr:y>
    </cdr:from>
    <cdr:to>
      <cdr:x>0.521</cdr:x>
      <cdr:y>0.60275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38040" y="886711"/>
          <a:ext cx="57179" cy="1811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Links>
    <vt:vector size="30" baseType="variant">
      <vt:variant>
        <vt:i4>1572869</vt:i4>
      </vt:variant>
      <vt:variant>
        <vt:i4>12</vt:i4>
      </vt:variant>
      <vt:variant>
        <vt:i4>0</vt:i4>
      </vt:variant>
      <vt:variant>
        <vt:i4>5</vt:i4>
      </vt:variant>
      <vt:variant>
        <vt:lpwstr>/content/act/3d5aec09-1df6-4ad9-be2b-015249ef3aae.doc</vt:lpwstr>
      </vt:variant>
      <vt:variant>
        <vt:lpwstr/>
      </vt:variant>
      <vt:variant>
        <vt:i4>4915205</vt:i4>
      </vt:variant>
      <vt:variant>
        <vt:i4>9</vt:i4>
      </vt:variant>
      <vt:variant>
        <vt:i4>0</vt:i4>
      </vt:variant>
      <vt:variant>
        <vt:i4>5</vt:i4>
      </vt:variant>
      <vt:variant>
        <vt:lpwstr>/content/act/1bc6464d-1df9-4503-be2d-c2935e39ef0d.doc</vt:lpwstr>
      </vt:variant>
      <vt:variant>
        <vt:lpwstr/>
      </vt:variant>
      <vt:variant>
        <vt:i4>6619158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6750310</vt:i4>
      </vt:variant>
      <vt:variant>
        <vt:i4>3</vt:i4>
      </vt:variant>
      <vt:variant>
        <vt:i4>0</vt:i4>
      </vt:variant>
      <vt:variant>
        <vt:i4>5</vt:i4>
      </vt:variant>
      <vt:variant>
        <vt:lpwstr>/content/act/d8e756c4-0cff-414c-b50c-93b320f601c6.html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2017-10-31T05:57:00Z</dcterms:created>
  <dcterms:modified xsi:type="dcterms:W3CDTF">2017-10-31T05:57:00Z</dcterms:modified>
</cp:coreProperties>
</file>