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Default="00C51BF4" w:rsidP="005E5172">
      <w:pPr>
        <w:pStyle w:val="3"/>
        <w:keepNext/>
        <w:keepLines/>
        <w:shd w:val="clear" w:color="auto" w:fill="FFFFFF"/>
        <w:spacing w:before="240" w:beforeAutospacing="0" w:after="0" w:afterAutospacing="0" w:line="276" w:lineRule="auto"/>
        <w:ind w:firstLine="2552"/>
        <w:jc w:val="center"/>
        <w:rPr>
          <w:rFonts w:eastAsiaTheme="majorEastAsia"/>
          <w:bCs w:val="0"/>
          <w:caps/>
          <w:color w:val="1F497D" w:themeColor="text2"/>
          <w:sz w:val="28"/>
          <w:szCs w:val="30"/>
        </w:rPr>
      </w:pPr>
      <w:bookmarkStart w:id="0" w:name="_GoBack"/>
      <w:bookmarkEnd w:id="0"/>
      <w:r w:rsidRPr="00D651CB">
        <w:rPr>
          <w:rFonts w:eastAsiaTheme="majorEastAsia"/>
          <w:bCs w:val="0"/>
          <w:caps/>
          <w:color w:val="1F497D" w:themeColor="text2"/>
          <w:sz w:val="28"/>
          <w:szCs w:val="30"/>
        </w:rPr>
        <w:t>Уважаемы</w:t>
      </w:r>
      <w:r w:rsidR="002D0F9F" w:rsidRPr="00D651CB">
        <w:rPr>
          <w:rFonts w:eastAsiaTheme="majorEastAsia"/>
          <w:bCs w:val="0"/>
          <w:caps/>
          <w:color w:val="1F497D" w:themeColor="text2"/>
          <w:sz w:val="28"/>
          <w:szCs w:val="30"/>
        </w:rPr>
        <w:t>й Страхователь!</w:t>
      </w:r>
    </w:p>
    <w:p w:rsidR="00F63D10" w:rsidRPr="00D651CB" w:rsidRDefault="00F63D10" w:rsidP="005E5172">
      <w:pPr>
        <w:pStyle w:val="3"/>
        <w:keepNext/>
        <w:keepLines/>
        <w:shd w:val="clear" w:color="auto" w:fill="FFFFFF"/>
        <w:spacing w:before="240" w:beforeAutospacing="0" w:after="0" w:afterAutospacing="0" w:line="276" w:lineRule="auto"/>
        <w:ind w:firstLine="2552"/>
        <w:jc w:val="center"/>
        <w:rPr>
          <w:rFonts w:eastAsiaTheme="majorEastAsia"/>
          <w:bCs w:val="0"/>
          <w:caps/>
          <w:color w:val="1F497D" w:themeColor="text2"/>
          <w:sz w:val="30"/>
          <w:szCs w:val="30"/>
        </w:rPr>
      </w:pPr>
      <w:r w:rsidRPr="00D651CB">
        <w:rPr>
          <w:rFonts w:eastAsiaTheme="majorEastAsia"/>
          <w:bCs w:val="0"/>
          <w:caps/>
          <w:noProof/>
          <w:color w:val="1F497D" w:themeColor="text2"/>
          <w:sz w:val="28"/>
          <w:szCs w:val="30"/>
        </w:rPr>
        <w:drawing>
          <wp:anchor distT="0" distB="0" distL="114300" distR="114300" simplePos="0" relativeHeight="251659264" behindDoc="1" locked="0" layoutInCell="1" allowOverlap="1" wp14:anchorId="05BFCAF4" wp14:editId="29D9B87A">
            <wp:simplePos x="0" y="0"/>
            <wp:positionH relativeFrom="margin">
              <wp:posOffset>308610</wp:posOffset>
            </wp:positionH>
            <wp:positionV relativeFrom="paragraph">
              <wp:posOffset>195580</wp:posOffset>
            </wp:positionV>
            <wp:extent cx="15811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172" w:rsidRDefault="005E5172" w:rsidP="009F38D9">
      <w:pPr>
        <w:pStyle w:val="a3"/>
        <w:spacing w:before="0" w:beforeAutospacing="0" w:after="0" w:line="276" w:lineRule="auto"/>
        <w:jc w:val="both"/>
        <w:rPr>
          <w:bCs/>
          <w:color w:val="1F497D" w:themeColor="text2"/>
          <w:sz w:val="28"/>
          <w:szCs w:val="28"/>
        </w:rPr>
      </w:pPr>
      <w:r w:rsidRPr="005E5172">
        <w:rPr>
          <w:bCs/>
          <w:color w:val="1F497D" w:themeColor="text2"/>
          <w:sz w:val="28"/>
          <w:szCs w:val="28"/>
        </w:rPr>
        <w:t>Постановлением Правительства № 1607 от 24 сентября 2021 года внесены изменения в</w:t>
      </w:r>
      <w:r w:rsidR="00F63D10">
        <w:rPr>
          <w:bCs/>
          <w:color w:val="1F497D" w:themeColor="text2"/>
          <w:sz w:val="28"/>
          <w:szCs w:val="28"/>
        </w:rPr>
        <w:t xml:space="preserve"> программу субсидирования найма</w:t>
      </w:r>
      <w:r w:rsidRPr="005E5172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color w:val="1F497D" w:themeColor="text2"/>
          <w:sz w:val="28"/>
          <w:szCs w:val="28"/>
        </w:rPr>
        <w:t>(П</w:t>
      </w:r>
      <w:r w:rsidRPr="005E5172">
        <w:rPr>
          <w:bCs/>
          <w:color w:val="1F497D" w:themeColor="text2"/>
          <w:sz w:val="28"/>
          <w:szCs w:val="28"/>
        </w:rPr>
        <w:t>остановление Правительства № 362 от 13 марта 2021 года»</w:t>
      </w:r>
      <w:r>
        <w:rPr>
          <w:bCs/>
          <w:color w:val="1F497D" w:themeColor="text2"/>
          <w:sz w:val="28"/>
          <w:szCs w:val="28"/>
        </w:rPr>
        <w:t>)</w:t>
      </w:r>
      <w:r w:rsidR="00F63D10">
        <w:rPr>
          <w:bCs/>
          <w:color w:val="1F497D" w:themeColor="text2"/>
          <w:sz w:val="28"/>
          <w:szCs w:val="28"/>
        </w:rPr>
        <w:t>.</w:t>
      </w:r>
    </w:p>
    <w:p w:rsidR="005E5172" w:rsidRPr="00F63D10" w:rsidRDefault="005E5172" w:rsidP="00F63D10">
      <w:pPr>
        <w:pStyle w:val="a3"/>
        <w:tabs>
          <w:tab w:val="left" w:pos="4395"/>
          <w:tab w:val="left" w:pos="4536"/>
        </w:tabs>
        <w:spacing w:before="240" w:after="0"/>
        <w:jc w:val="both"/>
        <w:rPr>
          <w:bCs/>
          <w:color w:val="1F497D" w:themeColor="text2"/>
          <w:sz w:val="2"/>
          <w:szCs w:val="2"/>
        </w:rPr>
      </w:pPr>
    </w:p>
    <w:p w:rsidR="005E5172" w:rsidRDefault="005E5172" w:rsidP="005E5172">
      <w:pPr>
        <w:pStyle w:val="a3"/>
        <w:numPr>
          <w:ilvl w:val="0"/>
          <w:numId w:val="43"/>
        </w:numPr>
        <w:tabs>
          <w:tab w:val="left" w:pos="4395"/>
          <w:tab w:val="left" w:pos="4536"/>
        </w:tabs>
        <w:spacing w:before="240" w:after="0" w:line="276" w:lineRule="auto"/>
        <w:jc w:val="both"/>
        <w:rPr>
          <w:bCs/>
          <w:color w:val="1F497D" w:themeColor="text2"/>
          <w:sz w:val="28"/>
          <w:szCs w:val="28"/>
        </w:rPr>
      </w:pPr>
      <w:r>
        <w:rPr>
          <w:bCs/>
          <w:color w:val="1F497D" w:themeColor="text2"/>
          <w:sz w:val="28"/>
          <w:szCs w:val="28"/>
        </w:rPr>
        <w:t xml:space="preserve">Теперь </w:t>
      </w:r>
      <w:r w:rsidRPr="005E5172">
        <w:rPr>
          <w:bCs/>
          <w:color w:val="1F497D" w:themeColor="text2"/>
          <w:sz w:val="28"/>
          <w:szCs w:val="28"/>
        </w:rPr>
        <w:t>работодатели смогут получить субсидию за трудоустройство безработных граждан, зарегистрированных в службах занятости не только до конца 2020 года, но и до 1 августа 2021 года</w:t>
      </w:r>
      <w:r>
        <w:rPr>
          <w:bCs/>
          <w:color w:val="1F497D" w:themeColor="text2"/>
          <w:sz w:val="28"/>
          <w:szCs w:val="28"/>
        </w:rPr>
        <w:t xml:space="preserve">. </w:t>
      </w:r>
    </w:p>
    <w:p w:rsidR="005E5172" w:rsidRPr="005E5172" w:rsidRDefault="005E5172" w:rsidP="005E5172">
      <w:pPr>
        <w:pStyle w:val="a3"/>
        <w:numPr>
          <w:ilvl w:val="0"/>
          <w:numId w:val="43"/>
        </w:numPr>
        <w:tabs>
          <w:tab w:val="left" w:pos="4395"/>
          <w:tab w:val="left" w:pos="4536"/>
        </w:tabs>
        <w:spacing w:before="240" w:after="0" w:line="276" w:lineRule="auto"/>
        <w:jc w:val="both"/>
        <w:rPr>
          <w:bCs/>
          <w:color w:val="1F497D" w:themeColor="text2"/>
          <w:sz w:val="28"/>
          <w:szCs w:val="28"/>
        </w:rPr>
      </w:pPr>
      <w:r w:rsidRPr="005E5172">
        <w:rPr>
          <w:bCs/>
          <w:color w:val="1F497D" w:themeColor="text2"/>
          <w:sz w:val="28"/>
          <w:szCs w:val="28"/>
        </w:rPr>
        <w:t>Кроме того, расширена категория граждан, за трудоустройство которых работодатель может получить субсидию вне зависимости от даты их регистрации в центрах занятости. Теперь в эту категорию попадают не только выпускники колледжей и вузов, завершившие обучение в 2020 году, но и инвалиды, многодетные родители, одинокие родители с детьми-инвалидами.</w:t>
      </w:r>
    </w:p>
    <w:p w:rsidR="005E5172" w:rsidRPr="005E5172" w:rsidRDefault="005E5172" w:rsidP="005E5172">
      <w:pPr>
        <w:pStyle w:val="a3"/>
        <w:numPr>
          <w:ilvl w:val="0"/>
          <w:numId w:val="43"/>
        </w:numPr>
        <w:tabs>
          <w:tab w:val="left" w:pos="4395"/>
          <w:tab w:val="left" w:pos="4536"/>
        </w:tabs>
        <w:spacing w:before="240" w:after="0" w:line="276" w:lineRule="auto"/>
        <w:jc w:val="both"/>
        <w:rPr>
          <w:bCs/>
          <w:color w:val="1F497D" w:themeColor="text2"/>
          <w:sz w:val="28"/>
          <w:szCs w:val="28"/>
        </w:rPr>
      </w:pPr>
      <w:r w:rsidRPr="005E5172">
        <w:rPr>
          <w:bCs/>
          <w:color w:val="1F497D" w:themeColor="text2"/>
          <w:sz w:val="28"/>
          <w:szCs w:val="28"/>
        </w:rPr>
        <w:t>Субсидия равна трём минимальным размерам оплаты труда, увеличенным на районный коэффициент, сумму страховых взносов и количество трудоустроенных граждан. Первы</w:t>
      </w:r>
      <w:r>
        <w:rPr>
          <w:bCs/>
          <w:color w:val="1F497D" w:themeColor="text2"/>
          <w:sz w:val="28"/>
          <w:szCs w:val="28"/>
        </w:rPr>
        <w:t>й</w:t>
      </w:r>
      <w:r w:rsidRPr="005E5172">
        <w:rPr>
          <w:bCs/>
          <w:color w:val="1F497D" w:themeColor="text2"/>
          <w:sz w:val="28"/>
          <w:szCs w:val="28"/>
        </w:rPr>
        <w:t xml:space="preserve"> </w:t>
      </w:r>
      <w:r>
        <w:rPr>
          <w:bCs/>
          <w:color w:val="1F497D" w:themeColor="text2"/>
          <w:sz w:val="28"/>
          <w:szCs w:val="28"/>
        </w:rPr>
        <w:t>транш</w:t>
      </w:r>
      <w:r w:rsidRPr="005E5172">
        <w:rPr>
          <w:bCs/>
          <w:color w:val="1F497D" w:themeColor="text2"/>
          <w:sz w:val="28"/>
          <w:szCs w:val="28"/>
        </w:rPr>
        <w:t xml:space="preserve"> работодатель получает через месяц после трудоустройства безработного, второй – через три месяца, третий – через шесть месяцев. </w:t>
      </w:r>
    </w:p>
    <w:p w:rsidR="005E5172" w:rsidRPr="005E5172" w:rsidRDefault="005E5172" w:rsidP="005E5172">
      <w:pPr>
        <w:pStyle w:val="a3"/>
        <w:numPr>
          <w:ilvl w:val="0"/>
          <w:numId w:val="43"/>
        </w:numPr>
        <w:tabs>
          <w:tab w:val="left" w:pos="4395"/>
          <w:tab w:val="left" w:pos="4536"/>
        </w:tabs>
        <w:spacing w:before="240" w:after="0" w:line="276" w:lineRule="auto"/>
        <w:jc w:val="both"/>
        <w:rPr>
          <w:bCs/>
          <w:color w:val="1F497D" w:themeColor="text2"/>
          <w:sz w:val="28"/>
          <w:szCs w:val="28"/>
        </w:rPr>
      </w:pPr>
      <w:r w:rsidRPr="005E5172">
        <w:rPr>
          <w:bCs/>
          <w:color w:val="1F497D" w:themeColor="text2"/>
          <w:sz w:val="28"/>
          <w:szCs w:val="28"/>
        </w:rPr>
        <w:t>Для получения субсидии работодателю необходимо до 15 декабря 2021 года направить заявление через личный кабинет портала «Работа в России» и указать перечень свободных рабочих мест и вакантных должностей. Центр занятости подберет подходящих кандидатов. Через месяц после их трудоустройства, работодателю необходимо направить заявление с указанием данных трудоустроенных безработных граждан. Заявление в Фонд социального страхования РФ подается дистанционно через государственную информационную систему «Соцстрах».</w:t>
      </w:r>
    </w:p>
    <w:p w:rsidR="00D651CB" w:rsidRDefault="00D651CB" w:rsidP="005E5172">
      <w:pPr>
        <w:pStyle w:val="a3"/>
        <w:tabs>
          <w:tab w:val="left" w:pos="4395"/>
          <w:tab w:val="left" w:pos="4536"/>
        </w:tabs>
        <w:spacing w:before="240" w:beforeAutospacing="0" w:after="0" w:afterAutospacing="0" w:line="276" w:lineRule="auto"/>
        <w:jc w:val="both"/>
        <w:rPr>
          <w:rStyle w:val="a5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78-07-91</w:t>
      </w:r>
    </w:p>
    <w:sectPr w:rsidR="00AB748C" w:rsidRPr="00A76174" w:rsidSect="00D651CB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6B6"/>
      </v:shape>
    </w:pict>
  </w:numPicBullet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E7AC0"/>
    <w:multiLevelType w:val="hybridMultilevel"/>
    <w:tmpl w:val="F9086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672846"/>
    <w:multiLevelType w:val="hybridMultilevel"/>
    <w:tmpl w:val="70F27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725D51"/>
    <w:multiLevelType w:val="hybridMultilevel"/>
    <w:tmpl w:val="63E6D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E736F"/>
    <w:multiLevelType w:val="hybridMultilevel"/>
    <w:tmpl w:val="599046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B3D55"/>
    <w:multiLevelType w:val="hybridMultilevel"/>
    <w:tmpl w:val="346682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0121A"/>
    <w:multiLevelType w:val="hybridMultilevel"/>
    <w:tmpl w:val="20BE9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476C8"/>
    <w:multiLevelType w:val="hybridMultilevel"/>
    <w:tmpl w:val="74E4D2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2"/>
  </w:num>
  <w:num w:numId="3">
    <w:abstractNumId w:val="21"/>
  </w:num>
  <w:num w:numId="4">
    <w:abstractNumId w:val="9"/>
  </w:num>
  <w:num w:numId="5">
    <w:abstractNumId w:val="8"/>
  </w:num>
  <w:num w:numId="6">
    <w:abstractNumId w:val="13"/>
  </w:num>
  <w:num w:numId="7">
    <w:abstractNumId w:val="29"/>
  </w:num>
  <w:num w:numId="8">
    <w:abstractNumId w:val="38"/>
  </w:num>
  <w:num w:numId="9">
    <w:abstractNumId w:val="22"/>
  </w:num>
  <w:num w:numId="10">
    <w:abstractNumId w:val="35"/>
  </w:num>
  <w:num w:numId="11">
    <w:abstractNumId w:val="30"/>
  </w:num>
  <w:num w:numId="12">
    <w:abstractNumId w:val="27"/>
  </w:num>
  <w:num w:numId="13">
    <w:abstractNumId w:val="0"/>
  </w:num>
  <w:num w:numId="14">
    <w:abstractNumId w:val="3"/>
  </w:num>
  <w:num w:numId="15">
    <w:abstractNumId w:val="1"/>
  </w:num>
  <w:num w:numId="16">
    <w:abstractNumId w:val="40"/>
  </w:num>
  <w:num w:numId="17">
    <w:abstractNumId w:val="24"/>
  </w:num>
  <w:num w:numId="18">
    <w:abstractNumId w:val="10"/>
  </w:num>
  <w:num w:numId="19">
    <w:abstractNumId w:val="18"/>
  </w:num>
  <w:num w:numId="20">
    <w:abstractNumId w:val="15"/>
  </w:num>
  <w:num w:numId="21">
    <w:abstractNumId w:val="36"/>
  </w:num>
  <w:num w:numId="22">
    <w:abstractNumId w:val="23"/>
  </w:num>
  <w:num w:numId="23">
    <w:abstractNumId w:val="14"/>
  </w:num>
  <w:num w:numId="24">
    <w:abstractNumId w:val="16"/>
  </w:num>
  <w:num w:numId="25">
    <w:abstractNumId w:val="25"/>
  </w:num>
  <w:num w:numId="26">
    <w:abstractNumId w:val="28"/>
  </w:num>
  <w:num w:numId="27">
    <w:abstractNumId w:val="17"/>
  </w:num>
  <w:num w:numId="28">
    <w:abstractNumId w:val="11"/>
  </w:num>
  <w:num w:numId="29">
    <w:abstractNumId w:val="41"/>
  </w:num>
  <w:num w:numId="30">
    <w:abstractNumId w:val="26"/>
  </w:num>
  <w:num w:numId="31">
    <w:abstractNumId w:val="37"/>
  </w:num>
  <w:num w:numId="32">
    <w:abstractNumId w:val="7"/>
  </w:num>
  <w:num w:numId="33">
    <w:abstractNumId w:val="2"/>
  </w:num>
  <w:num w:numId="34">
    <w:abstractNumId w:val="12"/>
  </w:num>
  <w:num w:numId="35">
    <w:abstractNumId w:val="39"/>
  </w:num>
  <w:num w:numId="36">
    <w:abstractNumId w:val="34"/>
  </w:num>
  <w:num w:numId="37">
    <w:abstractNumId w:val="6"/>
  </w:num>
  <w:num w:numId="38">
    <w:abstractNumId w:val="32"/>
  </w:num>
  <w:num w:numId="39">
    <w:abstractNumId w:val="4"/>
  </w:num>
  <w:num w:numId="40">
    <w:abstractNumId w:val="19"/>
  </w:num>
  <w:num w:numId="41">
    <w:abstractNumId w:val="33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E3C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33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2C0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3ACB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1CD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172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15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8D9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2E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6B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95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8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999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1CB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C62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5A3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2713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47FDB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3D10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3A4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46D4-1C77-4CCA-B60A-39BF54C5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2</cp:revision>
  <cp:lastPrinted>2021-10-04T04:40:00Z</cp:lastPrinted>
  <dcterms:created xsi:type="dcterms:W3CDTF">2021-10-04T10:30:00Z</dcterms:created>
  <dcterms:modified xsi:type="dcterms:W3CDTF">2021-10-04T10:30:00Z</dcterms:modified>
</cp:coreProperties>
</file>