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A1" w:rsidRPr="006C5AA1" w:rsidRDefault="006C5AA1" w:rsidP="006C5AA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C5AA1">
        <w:rPr>
          <w:b/>
          <w:bCs/>
          <w:sz w:val="28"/>
          <w:szCs w:val="28"/>
        </w:rPr>
        <w:t xml:space="preserve">Программа профилактики </w:t>
      </w:r>
      <w:r w:rsidRPr="006C5AA1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9602CF">
        <w:rPr>
          <w:b/>
          <w:sz w:val="28"/>
          <w:szCs w:val="28"/>
        </w:rPr>
        <w:t>жилищному</w:t>
      </w:r>
      <w:r w:rsidRPr="006C5AA1">
        <w:rPr>
          <w:b/>
          <w:sz w:val="28"/>
          <w:szCs w:val="28"/>
        </w:rPr>
        <w:t xml:space="preserve"> контролю </w:t>
      </w:r>
      <w:r w:rsidRPr="006C5AA1">
        <w:rPr>
          <w:b/>
          <w:bCs/>
          <w:sz w:val="28"/>
          <w:szCs w:val="28"/>
        </w:rPr>
        <w:t>на 2022 год</w:t>
      </w:r>
    </w:p>
    <w:p w:rsidR="009C7604" w:rsidRPr="009C7604" w:rsidRDefault="009C7604" w:rsidP="009C7604">
      <w:pPr>
        <w:spacing w:after="0" w:line="240" w:lineRule="auto"/>
        <w:jc w:val="center"/>
        <w:rPr>
          <w:b/>
          <w:sz w:val="28"/>
          <w:szCs w:val="28"/>
        </w:rPr>
      </w:pPr>
    </w:p>
    <w:p w:rsidR="00A21586" w:rsidRPr="009C7604" w:rsidRDefault="00415445" w:rsidP="002B7AC6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1. </w:t>
      </w:r>
      <w:r w:rsidR="00A21586" w:rsidRPr="009C7604">
        <w:rPr>
          <w:b/>
          <w:sz w:val="28"/>
          <w:szCs w:val="28"/>
        </w:rPr>
        <w:t>Общие положения</w:t>
      </w:r>
    </w:p>
    <w:p w:rsidR="002B7AC6" w:rsidRPr="009C7604" w:rsidRDefault="002B7AC6" w:rsidP="002B7AC6">
      <w:pPr>
        <w:pStyle w:val="TableParagraph"/>
        <w:ind w:left="110" w:right="85" w:firstLine="598"/>
        <w:jc w:val="both"/>
        <w:rPr>
          <w:sz w:val="28"/>
          <w:szCs w:val="28"/>
        </w:rPr>
      </w:pPr>
      <w:proofErr w:type="gramStart"/>
      <w:r w:rsidRPr="009C7604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Промышленновского муниципального округа в сфере осуществления муниципального </w:t>
      </w:r>
      <w:r w:rsidR="00C37CB8">
        <w:rPr>
          <w:sz w:val="28"/>
          <w:szCs w:val="28"/>
        </w:rPr>
        <w:t>жилищного</w:t>
      </w:r>
      <w:r w:rsidRPr="009C7604">
        <w:rPr>
          <w:sz w:val="28"/>
          <w:szCs w:val="28"/>
        </w:rPr>
        <w:t xml:space="preserve"> контроля (далее – Программа</w:t>
      </w:r>
      <w:r w:rsidR="00C51109" w:rsidRPr="009C7604">
        <w:rPr>
          <w:sz w:val="28"/>
          <w:szCs w:val="28"/>
        </w:rPr>
        <w:t xml:space="preserve"> профилактики</w:t>
      </w:r>
      <w:r w:rsidRPr="009C7604">
        <w:rPr>
          <w:sz w:val="28"/>
          <w:szCs w:val="28"/>
        </w:rPr>
        <w:t>) разработана на основании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 контрольными (надзорными) органами</w:t>
      </w:r>
      <w:proofErr w:type="gramEnd"/>
      <w:r w:rsidRPr="009C7604">
        <w:rPr>
          <w:sz w:val="28"/>
          <w:szCs w:val="28"/>
        </w:rPr>
        <w:t xml:space="preserve"> программы профилактики рисков причинения вреда (ущерба</w:t>
      </w:r>
      <w:r w:rsidR="00F5087F" w:rsidRPr="009C7604">
        <w:rPr>
          <w:sz w:val="28"/>
          <w:szCs w:val="28"/>
        </w:rPr>
        <w:t>) охраняемым законом ценностям», Решения Совета народных депутатов Промышленновского муниципального округа от 26.08.2021 № 3</w:t>
      </w:r>
      <w:r w:rsidR="00C37CB8">
        <w:rPr>
          <w:sz w:val="28"/>
          <w:szCs w:val="28"/>
        </w:rPr>
        <w:t>11</w:t>
      </w:r>
      <w:r w:rsidR="00F5087F" w:rsidRPr="009C7604">
        <w:rPr>
          <w:sz w:val="28"/>
          <w:szCs w:val="28"/>
        </w:rPr>
        <w:t xml:space="preserve"> «Об утверждении Положения об осуществлении муниципального </w:t>
      </w:r>
      <w:r w:rsidR="00C37CB8">
        <w:rPr>
          <w:sz w:val="28"/>
          <w:szCs w:val="28"/>
        </w:rPr>
        <w:t>жилищного</w:t>
      </w:r>
      <w:r w:rsidR="00F5087F" w:rsidRPr="009C7604">
        <w:rPr>
          <w:sz w:val="28"/>
          <w:szCs w:val="28"/>
        </w:rPr>
        <w:t xml:space="preserve"> контроля на территории Промышленновского муниципального округа.</w:t>
      </w:r>
    </w:p>
    <w:p w:rsidR="00C51109" w:rsidRPr="009C7604" w:rsidRDefault="00C51109" w:rsidP="002B7AC6">
      <w:pPr>
        <w:pStyle w:val="TableParagraph"/>
        <w:ind w:left="110" w:right="85" w:firstLine="598"/>
        <w:jc w:val="both"/>
        <w:rPr>
          <w:sz w:val="28"/>
          <w:szCs w:val="28"/>
        </w:rPr>
      </w:pPr>
    </w:p>
    <w:p w:rsidR="00C518DB" w:rsidRPr="009C7604" w:rsidRDefault="00415445" w:rsidP="00415445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2</w:t>
      </w:r>
      <w:r w:rsidR="00C518DB" w:rsidRPr="009C7604">
        <w:rPr>
          <w:b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</w:t>
      </w:r>
      <w:r w:rsidR="00C37CB8">
        <w:rPr>
          <w:b/>
          <w:sz w:val="28"/>
          <w:szCs w:val="28"/>
        </w:rPr>
        <w:t xml:space="preserve">ана, характеристика проблем, на </w:t>
      </w:r>
      <w:r w:rsidR="00C518DB" w:rsidRPr="009C7604">
        <w:rPr>
          <w:b/>
          <w:sz w:val="28"/>
          <w:szCs w:val="28"/>
        </w:rPr>
        <w:t>решение которых направлена программа профил</w:t>
      </w:r>
      <w:r w:rsidR="00C51109" w:rsidRPr="009C7604">
        <w:rPr>
          <w:b/>
          <w:sz w:val="28"/>
          <w:szCs w:val="28"/>
        </w:rPr>
        <w:t>актики рисков причинения вреда</w:t>
      </w:r>
    </w:p>
    <w:p w:rsidR="00415445" w:rsidRPr="009C7604" w:rsidRDefault="00415445" w:rsidP="00415445">
      <w:pPr>
        <w:spacing w:after="0" w:line="240" w:lineRule="auto"/>
        <w:jc w:val="center"/>
        <w:rPr>
          <w:sz w:val="28"/>
          <w:szCs w:val="28"/>
        </w:rPr>
      </w:pP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proofErr w:type="gramStart"/>
      <w:r w:rsidRPr="009C7604">
        <w:rPr>
          <w:color w:val="010101"/>
          <w:sz w:val="28"/>
          <w:szCs w:val="28"/>
        </w:rPr>
        <w:t xml:space="preserve">Муниципальный </w:t>
      </w:r>
      <w:r w:rsidR="00C37CB8">
        <w:rPr>
          <w:color w:val="010101"/>
          <w:sz w:val="28"/>
          <w:szCs w:val="28"/>
        </w:rPr>
        <w:t>жилищный</w:t>
      </w:r>
      <w:r w:rsidRPr="009C7604">
        <w:rPr>
          <w:color w:val="010101"/>
          <w:sz w:val="28"/>
          <w:szCs w:val="28"/>
        </w:rPr>
        <w:t xml:space="preserve"> контроль (далее – муниципальный контроль) – деятельность, направленная на предупреждение, выявление и пресечение нарушений обязательных требований </w:t>
      </w:r>
      <w:r w:rsidR="00C37CB8">
        <w:rPr>
          <w:color w:val="010101"/>
          <w:sz w:val="28"/>
          <w:szCs w:val="28"/>
        </w:rPr>
        <w:t>жилищного</w:t>
      </w:r>
      <w:r w:rsidRPr="009C7604">
        <w:rPr>
          <w:color w:val="010101"/>
          <w:sz w:val="28"/>
          <w:szCs w:val="28"/>
        </w:rPr>
        <w:t xml:space="preserve">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9C7604">
        <w:rPr>
          <w:color w:val="010101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Муниципальный </w:t>
      </w:r>
      <w:r w:rsidR="00C37CB8">
        <w:rPr>
          <w:color w:val="010101"/>
          <w:sz w:val="28"/>
          <w:szCs w:val="28"/>
        </w:rPr>
        <w:t>жилищный</w:t>
      </w:r>
      <w:r w:rsidRPr="009C7604">
        <w:rPr>
          <w:color w:val="010101"/>
          <w:sz w:val="28"/>
          <w:szCs w:val="28"/>
        </w:rPr>
        <w:t xml:space="preserve"> контроль осуществляется посредством: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C37CB8">
        <w:rPr>
          <w:color w:val="010101"/>
          <w:sz w:val="28"/>
          <w:szCs w:val="28"/>
        </w:rPr>
        <w:t>жилищного</w:t>
      </w:r>
      <w:r w:rsidRPr="009C7604">
        <w:rPr>
          <w:color w:val="010101"/>
          <w:sz w:val="28"/>
          <w:szCs w:val="28"/>
        </w:rPr>
        <w:t xml:space="preserve"> законодательства;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</w:t>
      </w:r>
      <w:r w:rsidRPr="009C7604">
        <w:rPr>
          <w:color w:val="010101"/>
          <w:sz w:val="28"/>
          <w:szCs w:val="28"/>
        </w:rPr>
        <w:lastRenderedPageBreak/>
        <w:t>также систематического наблюдения за исполнением обязательных требований;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E3A16" w:rsidRPr="009C7604" w:rsidRDefault="00415445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Подконтрольными субъектами </w:t>
      </w:r>
      <w:r w:rsidR="00C37CB8">
        <w:rPr>
          <w:color w:val="010101"/>
          <w:sz w:val="28"/>
          <w:szCs w:val="28"/>
        </w:rPr>
        <w:t>жилищного</w:t>
      </w:r>
      <w:r w:rsidRPr="009C7604">
        <w:rPr>
          <w:color w:val="010101"/>
          <w:sz w:val="28"/>
          <w:szCs w:val="28"/>
        </w:rPr>
        <w:t xml:space="preserve"> контроля являются</w:t>
      </w:r>
      <w:r w:rsidR="001E3A16" w:rsidRPr="009C7604">
        <w:rPr>
          <w:color w:val="010101"/>
          <w:sz w:val="28"/>
          <w:szCs w:val="28"/>
        </w:rPr>
        <w:t>: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227EFF" w:rsidRPr="009C7604" w:rsidRDefault="00227EFF" w:rsidP="00227EFF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9C7604">
        <w:rPr>
          <w:color w:val="000000" w:themeColor="text1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7E77C3" w:rsidRPr="009C7604" w:rsidRDefault="007E77C3" w:rsidP="007E77C3">
      <w:pPr>
        <w:spacing w:after="0" w:line="240" w:lineRule="auto"/>
        <w:rPr>
          <w:sz w:val="28"/>
          <w:szCs w:val="28"/>
        </w:rPr>
      </w:pPr>
    </w:p>
    <w:p w:rsidR="00C51109" w:rsidRPr="009C7604" w:rsidRDefault="00C37CB8" w:rsidP="007E77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и </w:t>
      </w:r>
      <w:r w:rsidR="00C518DB" w:rsidRPr="009C7604">
        <w:rPr>
          <w:b/>
          <w:sz w:val="28"/>
          <w:szCs w:val="28"/>
        </w:rPr>
        <w:t xml:space="preserve">задачи реализации программы профилактики </w:t>
      </w:r>
    </w:p>
    <w:p w:rsidR="00C518DB" w:rsidRPr="009C7604" w:rsidRDefault="00C51109" w:rsidP="007E77C3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рисков причинения вреда</w:t>
      </w:r>
    </w:p>
    <w:p w:rsidR="007E77C3" w:rsidRPr="009C7604" w:rsidRDefault="007E77C3" w:rsidP="007E77C3">
      <w:pPr>
        <w:spacing w:after="0" w:line="240" w:lineRule="auto"/>
        <w:jc w:val="center"/>
        <w:rPr>
          <w:sz w:val="28"/>
          <w:szCs w:val="28"/>
        </w:rPr>
      </w:pPr>
    </w:p>
    <w:p w:rsidR="009C7604" w:rsidRPr="009C7604" w:rsidRDefault="009C7604" w:rsidP="009C760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Основными целями Программы профилактики являются: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9C7604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C7604">
        <w:rPr>
          <w:bCs/>
          <w:sz w:val="28"/>
          <w:szCs w:val="28"/>
        </w:rPr>
        <w:t xml:space="preserve"> 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7604" w:rsidRPr="009C7604" w:rsidRDefault="009C7604" w:rsidP="009C76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 xml:space="preserve">Укрепление </w:t>
      </w:r>
      <w:proofErr w:type="gramStart"/>
      <w:r w:rsidRPr="009C7604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C7604">
        <w:rPr>
          <w:sz w:val="28"/>
          <w:szCs w:val="28"/>
        </w:rPr>
        <w:t xml:space="preserve"> вреда (ущерба) охраняемым законом ценностям;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E77C3" w:rsidRPr="009C7604" w:rsidRDefault="007E77C3" w:rsidP="007E77C3">
      <w:pPr>
        <w:spacing w:after="0" w:line="240" w:lineRule="auto"/>
        <w:jc w:val="both"/>
        <w:rPr>
          <w:sz w:val="28"/>
          <w:szCs w:val="28"/>
        </w:rPr>
      </w:pPr>
    </w:p>
    <w:p w:rsidR="00C518DB" w:rsidRPr="009C7604" w:rsidRDefault="00C518DB" w:rsidP="007E77C3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lastRenderedPageBreak/>
        <w:t>3. Перечень профилактических мероприятий, срок</w:t>
      </w:r>
      <w:r w:rsidR="00184047">
        <w:rPr>
          <w:b/>
          <w:sz w:val="28"/>
          <w:szCs w:val="28"/>
        </w:rPr>
        <w:t xml:space="preserve">и (периодичность) их </w:t>
      </w:r>
      <w:r w:rsidR="00C51109" w:rsidRPr="009C7604">
        <w:rPr>
          <w:b/>
          <w:sz w:val="28"/>
          <w:szCs w:val="28"/>
        </w:rPr>
        <w:t>проведения</w:t>
      </w:r>
    </w:p>
    <w:tbl>
      <w:tblPr>
        <w:tblStyle w:val="a4"/>
        <w:tblW w:w="0" w:type="auto"/>
        <w:tblLayout w:type="fixed"/>
        <w:tblLook w:val="04A0"/>
      </w:tblPr>
      <w:tblGrid>
        <w:gridCol w:w="505"/>
        <w:gridCol w:w="2329"/>
        <w:gridCol w:w="2329"/>
        <w:gridCol w:w="1910"/>
        <w:gridCol w:w="2493"/>
      </w:tblGrid>
      <w:tr w:rsidR="00502C53" w:rsidRPr="009C7604" w:rsidTr="00502C53">
        <w:trPr>
          <w:trHeight w:val="650"/>
        </w:trPr>
        <w:tc>
          <w:tcPr>
            <w:tcW w:w="505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№</w:t>
            </w:r>
          </w:p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76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7604">
              <w:rPr>
                <w:sz w:val="28"/>
                <w:szCs w:val="28"/>
              </w:rPr>
              <w:t>/</w:t>
            </w:r>
            <w:proofErr w:type="spellStart"/>
            <w:r w:rsidRPr="009C76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9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329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93" w:type="dxa"/>
          </w:tcPr>
          <w:p w:rsidR="00502C53" w:rsidRPr="009C7604" w:rsidRDefault="00502C53" w:rsidP="00995C24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Ответственный орган</w:t>
            </w:r>
          </w:p>
        </w:tc>
      </w:tr>
      <w:tr w:rsidR="00502C53" w:rsidRPr="009C7604" w:rsidTr="00502C53">
        <w:trPr>
          <w:trHeight w:val="967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Актуализация и размещение на официальном сайте перечней правовых актов; подготовка и размещение разъяснительных материалов, информационных писем</w:t>
            </w:r>
          </w:p>
        </w:tc>
        <w:tc>
          <w:tcPr>
            <w:tcW w:w="1910" w:type="dxa"/>
          </w:tcPr>
          <w:p w:rsidR="00502C53" w:rsidRPr="009C7604" w:rsidRDefault="00502C53" w:rsidP="00502C53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принятия или внесения изменений (ежемесячно)</w:t>
            </w:r>
          </w:p>
        </w:tc>
        <w:tc>
          <w:tcPr>
            <w:tcW w:w="2493" w:type="dxa"/>
          </w:tcPr>
          <w:p w:rsidR="00502C53" w:rsidRPr="009C7604" w:rsidRDefault="00184047" w:rsidP="00C518DB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Жилищный отдел Управления по жизнеобеспечению и строительству </w:t>
            </w:r>
            <w:r w:rsidR="00502C53" w:rsidRPr="009C7604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  <w:tr w:rsidR="00502C53" w:rsidRPr="009C7604" w:rsidTr="00502C53">
        <w:trPr>
          <w:trHeight w:val="967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329" w:type="dxa"/>
          </w:tcPr>
          <w:p w:rsidR="00502C53" w:rsidRPr="009C7604" w:rsidRDefault="009C7604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1910" w:type="dxa"/>
          </w:tcPr>
          <w:p w:rsidR="00502C53" w:rsidRPr="009C7604" w:rsidRDefault="00502C53" w:rsidP="00502C53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93" w:type="dxa"/>
          </w:tcPr>
          <w:p w:rsidR="00502C53" w:rsidRPr="009C7604" w:rsidRDefault="00184047" w:rsidP="00F227E9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Жилищный отдел Управления по жизнеобеспечению и строительству </w:t>
            </w:r>
            <w:r w:rsidRPr="009C7604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  <w:tr w:rsidR="00502C53" w:rsidRPr="009C7604" w:rsidTr="00502C53">
        <w:trPr>
          <w:trHeight w:val="1300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329" w:type="dxa"/>
          </w:tcPr>
          <w:p w:rsidR="00502C53" w:rsidRPr="00541305" w:rsidRDefault="00502C53" w:rsidP="0054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7604">
              <w:rPr>
                <w:sz w:val="28"/>
                <w:szCs w:val="28"/>
              </w:rPr>
              <w:t xml:space="preserve">Проведение профилактических бесед </w:t>
            </w:r>
            <w:r w:rsidRPr="009C7604">
              <w:rPr>
                <w:rFonts w:eastAsiaTheme="minorHAnsi"/>
                <w:sz w:val="28"/>
                <w:szCs w:val="28"/>
                <w:lang w:eastAsia="en-US"/>
              </w:rPr>
              <w:t xml:space="preserve">по месту осуществления деятельности контролируемого лица либо путем использования </w:t>
            </w:r>
            <w:proofErr w:type="spellStart"/>
            <w:r w:rsidRPr="009C7604">
              <w:rPr>
                <w:rFonts w:eastAsiaTheme="minorHAnsi"/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10" w:type="dxa"/>
          </w:tcPr>
          <w:p w:rsidR="00502C53" w:rsidRPr="009C7604" w:rsidRDefault="00502C53" w:rsidP="00995C24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обращения контролируемого лица</w:t>
            </w:r>
          </w:p>
        </w:tc>
        <w:tc>
          <w:tcPr>
            <w:tcW w:w="2493" w:type="dxa"/>
          </w:tcPr>
          <w:p w:rsidR="00502C53" w:rsidRPr="009C7604" w:rsidRDefault="00184047" w:rsidP="00C518DB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Жилищный отдел Управления по жизнеобеспечению и строительству </w:t>
            </w:r>
            <w:r w:rsidRPr="009C7604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</w:tbl>
    <w:p w:rsidR="007E77C3" w:rsidRPr="009C7604" w:rsidRDefault="007E77C3" w:rsidP="00C518DB">
      <w:pPr>
        <w:spacing w:after="280" w:afterAutospacing="1"/>
        <w:rPr>
          <w:sz w:val="28"/>
          <w:szCs w:val="28"/>
        </w:rPr>
      </w:pPr>
    </w:p>
    <w:p w:rsidR="00C518DB" w:rsidRPr="009C7604" w:rsidRDefault="00C518DB" w:rsidP="004D7A8C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4</w:t>
      </w:r>
      <w:r w:rsidR="001B5BF7">
        <w:rPr>
          <w:b/>
          <w:sz w:val="28"/>
          <w:szCs w:val="28"/>
        </w:rPr>
        <w:t xml:space="preserve">. Показатели результативности и </w:t>
      </w:r>
      <w:r w:rsidRPr="009C7604">
        <w:rPr>
          <w:b/>
          <w:sz w:val="28"/>
          <w:szCs w:val="28"/>
        </w:rPr>
        <w:t xml:space="preserve">эффективности </w:t>
      </w:r>
      <w:proofErr w:type="gramStart"/>
      <w:r w:rsidRPr="009C7604">
        <w:rPr>
          <w:b/>
          <w:sz w:val="28"/>
          <w:szCs w:val="28"/>
        </w:rPr>
        <w:t>программы профил</w:t>
      </w:r>
      <w:r w:rsidR="00C51109" w:rsidRPr="009C7604">
        <w:rPr>
          <w:b/>
          <w:sz w:val="28"/>
          <w:szCs w:val="28"/>
        </w:rPr>
        <w:t>актики рисков причинения вреда</w:t>
      </w:r>
      <w:proofErr w:type="gramEnd"/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Эффективность реализации Программы профилактики оценивается:</w:t>
      </w:r>
    </w:p>
    <w:p w:rsidR="00C5715A" w:rsidRPr="009C7604" w:rsidRDefault="00541305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>
        <w:rPr>
          <w:rFonts w:ascii="yandex-sans" w:hAnsi="yandex-sans"/>
          <w:color w:val="000000"/>
          <w:sz w:val="28"/>
          <w:szCs w:val="28"/>
          <w:lang w:bidi="ar-SA"/>
        </w:rPr>
        <w:t xml:space="preserve">1) </w:t>
      </w:r>
      <w:r w:rsidR="00C5715A" w:rsidRPr="009C7604">
        <w:rPr>
          <w:rFonts w:ascii="yandex-sans" w:hAnsi="yandex-sans"/>
          <w:color w:val="000000"/>
          <w:sz w:val="28"/>
          <w:szCs w:val="28"/>
          <w:lang w:bidi="ar-SA"/>
        </w:rPr>
        <w:t xml:space="preserve">повышением </w:t>
      </w:r>
      <w:proofErr w:type="gramStart"/>
      <w:r w:rsidR="00C5715A"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эффективности системы профилактики нарушений обязательных требований</w:t>
      </w:r>
      <w:proofErr w:type="gramEnd"/>
      <w:r w:rsidR="00C5715A" w:rsidRPr="009C7604">
        <w:rPr>
          <w:rFonts w:ascii="yandex-sans" w:hAnsi="yandex-sans"/>
          <w:color w:val="000000"/>
          <w:sz w:val="28"/>
          <w:szCs w:val="28"/>
          <w:lang w:bidi="ar-SA"/>
        </w:rPr>
        <w:t>;</w:t>
      </w:r>
    </w:p>
    <w:p w:rsidR="00C5715A" w:rsidRPr="009C7604" w:rsidRDefault="00541305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>
        <w:rPr>
          <w:rFonts w:ascii="yandex-sans" w:hAnsi="yandex-sans"/>
          <w:color w:val="000000"/>
          <w:sz w:val="28"/>
          <w:szCs w:val="28"/>
          <w:lang w:bidi="ar-SA"/>
        </w:rPr>
        <w:t xml:space="preserve">2) </w:t>
      </w:r>
      <w:r w:rsidR="00C5715A" w:rsidRPr="009C7604">
        <w:rPr>
          <w:rFonts w:ascii="yandex-sans" w:hAnsi="yandex-sans"/>
          <w:color w:val="000000"/>
          <w:sz w:val="28"/>
          <w:szCs w:val="28"/>
          <w:lang w:bidi="ar-SA"/>
        </w:rPr>
        <w:t xml:space="preserve">повышением уровня правовой грамотности контролируемых лиц в </w:t>
      </w:r>
      <w:r w:rsidR="00C5715A" w:rsidRPr="009C7604">
        <w:rPr>
          <w:rFonts w:ascii="yandex-sans" w:hAnsi="yandex-sans"/>
          <w:color w:val="000000"/>
          <w:sz w:val="28"/>
          <w:szCs w:val="28"/>
          <w:lang w:bidi="ar-SA"/>
        </w:rPr>
        <w:lastRenderedPageBreak/>
        <w:t>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5715A" w:rsidRPr="009C7604" w:rsidRDefault="001B5BF7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>
        <w:rPr>
          <w:rFonts w:ascii="yandex-sans" w:hAnsi="yandex-sans"/>
          <w:color w:val="000000"/>
          <w:sz w:val="28"/>
          <w:szCs w:val="28"/>
          <w:lang w:bidi="ar-SA"/>
        </w:rPr>
        <w:t xml:space="preserve">3) </w:t>
      </w:r>
      <w:r w:rsidR="00C5715A" w:rsidRPr="009C7604">
        <w:rPr>
          <w:rFonts w:ascii="yandex-sans" w:hAnsi="yandex-sans"/>
          <w:color w:val="000000"/>
          <w:sz w:val="28"/>
          <w:szCs w:val="28"/>
          <w:lang w:bidi="ar-SA"/>
        </w:rPr>
        <w:t>снижение</w:t>
      </w:r>
      <w:r>
        <w:rPr>
          <w:rFonts w:ascii="yandex-sans" w:hAnsi="yandex-sans"/>
          <w:color w:val="000000"/>
          <w:sz w:val="28"/>
          <w:szCs w:val="28"/>
          <w:lang w:bidi="ar-SA"/>
        </w:rPr>
        <w:t xml:space="preserve">м количества правонарушений </w:t>
      </w:r>
      <w:r w:rsidR="00C5715A" w:rsidRPr="009C7604">
        <w:rPr>
          <w:rFonts w:ascii="yandex-sans" w:hAnsi="yandex-sans"/>
          <w:color w:val="000000"/>
          <w:sz w:val="28"/>
          <w:szCs w:val="28"/>
          <w:lang w:bidi="ar-SA"/>
        </w:rPr>
        <w:t>контролир</w:t>
      </w:r>
      <w:r>
        <w:rPr>
          <w:rFonts w:ascii="yandex-sans" w:hAnsi="yandex-sans"/>
          <w:color w:val="000000"/>
          <w:sz w:val="28"/>
          <w:szCs w:val="28"/>
          <w:lang w:bidi="ar-SA"/>
        </w:rPr>
        <w:t>уемыми лицами</w:t>
      </w:r>
      <w:r w:rsidR="00C5715A" w:rsidRPr="009C7604">
        <w:rPr>
          <w:rFonts w:ascii="yandex-sans" w:hAnsi="yandex-sans"/>
          <w:color w:val="000000"/>
          <w:sz w:val="28"/>
          <w:szCs w:val="28"/>
          <w:lang w:bidi="ar-SA"/>
        </w:rPr>
        <w:t>;</w:t>
      </w:r>
    </w:p>
    <w:p w:rsidR="00C5715A" w:rsidRPr="009C7604" w:rsidRDefault="001B5BF7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>
        <w:rPr>
          <w:rFonts w:ascii="yandex-sans" w:hAnsi="yandex-sans"/>
          <w:color w:val="000000"/>
          <w:sz w:val="28"/>
          <w:szCs w:val="28"/>
          <w:lang w:bidi="ar-SA"/>
        </w:rPr>
        <w:t xml:space="preserve">4) </w:t>
      </w:r>
      <w:r w:rsidR="00C5715A" w:rsidRPr="009C7604">
        <w:rPr>
          <w:rFonts w:ascii="yandex-sans" w:hAnsi="yandex-sans"/>
          <w:color w:val="000000"/>
          <w:sz w:val="28"/>
          <w:szCs w:val="28"/>
          <w:lang w:bidi="ar-SA"/>
        </w:rPr>
        <w:t>понятностью обязательных требований, обеспечивающей их однозначное толкование.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Ключевыми направлениями социологических исследований являются: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2) понятность обязательных требований, обеспечивающая их однозначное толкование;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3) вовлечение контролируемых лиц в регулярное взаимодействие с администрацией Промышленновского муниципального округа.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i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номер показателя;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- отклонение фактического значения i-го показателя от планового значения i-го показателя;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фактическое значение i-го показателя профилактических мероприятий;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плановое значение i-го показателя профилактических мероприятий.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В случае подсчета 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«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понижаемого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»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при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, то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по следующей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Итоговая оценка эффективности реализации Программы 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lastRenderedPageBreak/>
        <w:t>профилактики;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12"/>
          <w:sz w:val="28"/>
          <w:szCs w:val="28"/>
          <w:lang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сумма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отклонений фактических значений показателей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от плановых значений по итогам календарного года;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N - общее количество показателей Программы профилактики.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В случае</w:t>
      </w:r>
      <w:proofErr w:type="gramStart"/>
      <w:r w:rsidR="000751F3"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,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равным 100 %.</w:t>
      </w:r>
    </w:p>
    <w:p w:rsidR="00C5715A" w:rsidRPr="009C7604" w:rsidRDefault="00C5715A" w:rsidP="00C5715A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По итогам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оценки эффективности реализации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определяется уровень профилактической работы контрольного (надзорного) органа.</w:t>
      </w:r>
    </w:p>
    <w:p w:rsidR="00C5715A" w:rsidRPr="009C7604" w:rsidRDefault="00C5715A" w:rsidP="00C5715A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701"/>
        <w:gridCol w:w="1843"/>
        <w:gridCol w:w="1984"/>
        <w:gridCol w:w="1843"/>
      </w:tblGrid>
      <w:tr w:rsidR="00C5715A" w:rsidRPr="009C7604" w:rsidTr="000751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менее </w:t>
            </w:r>
            <w:r w:rsidRPr="009C7604">
              <w:rPr>
                <w:color w:val="000000" w:themeColor="text1"/>
                <w:u w:val="single"/>
              </w:rPr>
              <w:t>50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51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80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after="0"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</w:p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от </w:t>
            </w:r>
            <w:r w:rsidRPr="009C7604">
              <w:rPr>
                <w:color w:val="000000" w:themeColor="text1"/>
                <w:u w:val="single"/>
              </w:rPr>
              <w:t>81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90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91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100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</w:tr>
      <w:tr w:rsidR="00C5715A" w:rsidRPr="00B754E6" w:rsidTr="000751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результативности 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Недопустимый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Плановый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B754E6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лидерства</w:t>
            </w:r>
          </w:p>
        </w:tc>
      </w:tr>
    </w:tbl>
    <w:p w:rsidR="00C5715A" w:rsidRPr="00B754E6" w:rsidRDefault="00C5715A" w:rsidP="00C5715A">
      <w:pPr>
        <w:pStyle w:val="a5"/>
        <w:ind w:left="0" w:firstLine="567"/>
        <w:jc w:val="left"/>
        <w:rPr>
          <w:color w:val="000000" w:themeColor="text1"/>
          <w:sz w:val="25"/>
        </w:rPr>
      </w:pPr>
    </w:p>
    <w:p w:rsidR="00CE032A" w:rsidRPr="00C518DB" w:rsidRDefault="00CE032A">
      <w:pPr>
        <w:rPr>
          <w:sz w:val="28"/>
          <w:szCs w:val="28"/>
        </w:rPr>
      </w:pPr>
    </w:p>
    <w:sectPr w:rsidR="00CE032A" w:rsidRPr="00C518DB" w:rsidSect="00E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32A"/>
    <w:rsid w:val="000751F3"/>
    <w:rsid w:val="00095951"/>
    <w:rsid w:val="000B13B6"/>
    <w:rsid w:val="000B1DC2"/>
    <w:rsid w:val="000F622D"/>
    <w:rsid w:val="00184047"/>
    <w:rsid w:val="00193FA5"/>
    <w:rsid w:val="001B5BF7"/>
    <w:rsid w:val="001E3A16"/>
    <w:rsid w:val="00227EFF"/>
    <w:rsid w:val="00230F60"/>
    <w:rsid w:val="002625C3"/>
    <w:rsid w:val="002A3A42"/>
    <w:rsid w:val="002B7AC6"/>
    <w:rsid w:val="003C27AA"/>
    <w:rsid w:val="004123FE"/>
    <w:rsid w:val="00415445"/>
    <w:rsid w:val="004850AC"/>
    <w:rsid w:val="00490712"/>
    <w:rsid w:val="004D48C4"/>
    <w:rsid w:val="004D7A8C"/>
    <w:rsid w:val="00502C53"/>
    <w:rsid w:val="00541305"/>
    <w:rsid w:val="00557656"/>
    <w:rsid w:val="005658D2"/>
    <w:rsid w:val="00571CEA"/>
    <w:rsid w:val="005927B2"/>
    <w:rsid w:val="005E08FC"/>
    <w:rsid w:val="00660D1F"/>
    <w:rsid w:val="006C5AA1"/>
    <w:rsid w:val="006D6DD1"/>
    <w:rsid w:val="006F2168"/>
    <w:rsid w:val="006F772B"/>
    <w:rsid w:val="007070C7"/>
    <w:rsid w:val="007E77C3"/>
    <w:rsid w:val="007F2880"/>
    <w:rsid w:val="008148E4"/>
    <w:rsid w:val="00814906"/>
    <w:rsid w:val="008276A0"/>
    <w:rsid w:val="00871E0E"/>
    <w:rsid w:val="00877F52"/>
    <w:rsid w:val="008B3F79"/>
    <w:rsid w:val="00933A89"/>
    <w:rsid w:val="00945DAB"/>
    <w:rsid w:val="0094760E"/>
    <w:rsid w:val="009602CF"/>
    <w:rsid w:val="009821D4"/>
    <w:rsid w:val="00995C24"/>
    <w:rsid w:val="009C7604"/>
    <w:rsid w:val="009F2D77"/>
    <w:rsid w:val="00A21586"/>
    <w:rsid w:val="00A3210E"/>
    <w:rsid w:val="00A538C0"/>
    <w:rsid w:val="00B80C11"/>
    <w:rsid w:val="00B90570"/>
    <w:rsid w:val="00BA0863"/>
    <w:rsid w:val="00BA2103"/>
    <w:rsid w:val="00C15388"/>
    <w:rsid w:val="00C37CB8"/>
    <w:rsid w:val="00C51109"/>
    <w:rsid w:val="00C518DB"/>
    <w:rsid w:val="00C5715A"/>
    <w:rsid w:val="00CC4865"/>
    <w:rsid w:val="00CE032A"/>
    <w:rsid w:val="00D108A1"/>
    <w:rsid w:val="00D706D5"/>
    <w:rsid w:val="00DB41A6"/>
    <w:rsid w:val="00E0698E"/>
    <w:rsid w:val="00E9116F"/>
    <w:rsid w:val="00EB3486"/>
    <w:rsid w:val="00EE5A73"/>
    <w:rsid w:val="00EF6904"/>
    <w:rsid w:val="00F227E9"/>
    <w:rsid w:val="00F5087F"/>
    <w:rsid w:val="00F671FA"/>
    <w:rsid w:val="00FB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D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7AC6"/>
    <w:pPr>
      <w:widowControl w:val="0"/>
      <w:autoSpaceDE w:val="0"/>
      <w:autoSpaceDN w:val="0"/>
      <w:spacing w:after="0" w:line="240" w:lineRule="auto"/>
    </w:pPr>
    <w:rPr>
      <w:lang w:bidi="ru-RU"/>
    </w:rPr>
  </w:style>
  <w:style w:type="paragraph" w:styleId="a3">
    <w:name w:val="List Paragraph"/>
    <w:basedOn w:val="a"/>
    <w:uiPriority w:val="34"/>
    <w:qFormat/>
    <w:rsid w:val="007E77C3"/>
    <w:pPr>
      <w:ind w:left="720"/>
      <w:contextualSpacing/>
    </w:pPr>
  </w:style>
  <w:style w:type="table" w:styleId="a4">
    <w:name w:val="Table Grid"/>
    <w:basedOn w:val="a1"/>
    <w:uiPriority w:val="59"/>
    <w:rsid w:val="007E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C5715A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715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1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E3A1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4</cp:revision>
  <cp:lastPrinted>2021-09-23T10:22:00Z</cp:lastPrinted>
  <dcterms:created xsi:type="dcterms:W3CDTF">2021-09-30T04:07:00Z</dcterms:created>
  <dcterms:modified xsi:type="dcterms:W3CDTF">2021-09-30T05:38:00Z</dcterms:modified>
</cp:coreProperties>
</file>