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55BB6" w:rsidTr="00D55BB6">
        <w:tc>
          <w:tcPr>
            <w:tcW w:w="4077" w:type="dxa"/>
          </w:tcPr>
          <w:p w:rsidR="00D55BB6" w:rsidRDefault="00D55BB6" w:rsidP="00D55BB6">
            <w:pPr>
              <w:pStyle w:val="3"/>
              <w:keepNext/>
              <w:keepLines/>
              <w:spacing w:before="0" w:beforeAutospacing="0" w:after="0" w:afterAutospacing="0" w:line="276" w:lineRule="auto"/>
              <w:jc w:val="center"/>
              <w:outlineLvl w:val="2"/>
              <w:rPr>
                <w:rFonts w:ascii="Century Gothic" w:eastAsiaTheme="majorEastAsia" w:hAnsi="Century Gothic" w:cstheme="majorBidi"/>
                <w:bCs w:val="0"/>
                <w:caps/>
                <w:color w:val="000000"/>
                <w:sz w:val="30"/>
                <w:szCs w:val="30"/>
              </w:rPr>
            </w:pPr>
            <w:r w:rsidRPr="00D55BB6">
              <w:rPr>
                <w:rFonts w:ascii="Century Gothic" w:eastAsiaTheme="majorEastAsia" w:hAnsi="Century Gothic" w:cstheme="majorBidi"/>
                <w:bCs w:val="0"/>
                <w:caps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1334965" cy="1011116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34" cy="101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55BB6" w:rsidRDefault="00D55BB6" w:rsidP="00D55BB6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Fonts w:ascii="Century Gothic" w:eastAsiaTheme="majorEastAsia" w:hAnsi="Century Gothic" w:cstheme="majorBidi"/>
                <w:bCs w:val="0"/>
                <w:caps/>
                <w:color w:val="000000"/>
                <w:sz w:val="30"/>
                <w:szCs w:val="30"/>
              </w:rPr>
            </w:pPr>
          </w:p>
          <w:p w:rsidR="00D55BB6" w:rsidRPr="00D55BB6" w:rsidRDefault="00D55BB6" w:rsidP="00D55BB6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center"/>
              <w:outlineLvl w:val="2"/>
              <w:rPr>
                <w:rFonts w:ascii="Century Gothic" w:eastAsiaTheme="majorEastAsia" w:hAnsi="Century Gothic" w:cstheme="majorBidi"/>
                <w:bCs w:val="0"/>
                <w:caps/>
                <w:color w:val="002060"/>
                <w:sz w:val="30"/>
                <w:szCs w:val="30"/>
              </w:rPr>
            </w:pPr>
            <w:r w:rsidRPr="00D55BB6">
              <w:rPr>
                <w:rFonts w:ascii="Century Gothic" w:eastAsiaTheme="majorEastAsia" w:hAnsi="Century Gothic" w:cstheme="majorBidi"/>
                <w:bCs w:val="0"/>
                <w:caps/>
                <w:color w:val="002060"/>
                <w:sz w:val="30"/>
                <w:szCs w:val="30"/>
              </w:rPr>
              <w:t>Уважаемый страхователь!</w:t>
            </w:r>
          </w:p>
          <w:p w:rsidR="00D55BB6" w:rsidRDefault="00D55BB6" w:rsidP="00D55BB6">
            <w:pPr>
              <w:pStyle w:val="3"/>
              <w:keepNext/>
              <w:keepLines/>
              <w:spacing w:before="0" w:beforeAutospacing="0" w:after="0" w:afterAutospacing="0" w:line="276" w:lineRule="auto"/>
              <w:jc w:val="both"/>
              <w:outlineLvl w:val="2"/>
              <w:rPr>
                <w:rFonts w:ascii="Century Gothic" w:eastAsiaTheme="majorEastAsia" w:hAnsi="Century Gothic" w:cstheme="majorBidi"/>
                <w:bCs w:val="0"/>
                <w:caps/>
                <w:color w:val="000000"/>
                <w:sz w:val="30"/>
                <w:szCs w:val="30"/>
              </w:rPr>
            </w:pPr>
          </w:p>
        </w:tc>
      </w:tr>
    </w:tbl>
    <w:p w:rsidR="00D55BB6" w:rsidRDefault="00D55BB6" w:rsidP="00D55BB6">
      <w:pPr>
        <w:ind w:right="-28"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627298" w:rsidRPr="00D04663" w:rsidRDefault="00627298" w:rsidP="00F969A9">
      <w:pPr>
        <w:spacing w:after="0" w:line="360" w:lineRule="exact"/>
        <w:ind w:right="-28" w:firstLine="709"/>
        <w:jc w:val="both"/>
        <w:rPr>
          <w:rFonts w:ascii="Times New Roman" w:hAnsi="Times New Roman" w:cs="Times New Roman"/>
          <w:bCs/>
          <w:color w:val="002060"/>
          <w:sz w:val="27"/>
          <w:szCs w:val="27"/>
        </w:rPr>
      </w:pPr>
      <w:r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>Г</w:t>
      </w:r>
      <w:r w:rsidR="004D19C2"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>У</w:t>
      </w:r>
      <w:r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 xml:space="preserve"> – Кузбасское региональное отделение Фонда социального страхования Р</w:t>
      </w:r>
      <w:r w:rsidR="004D19C2"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>Ф</w:t>
      </w:r>
      <w:r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 xml:space="preserve"> </w:t>
      </w:r>
      <w:r w:rsidR="00D55BB6" w:rsidRPr="00D04663">
        <w:rPr>
          <w:rFonts w:ascii="Times New Roman" w:hAnsi="Times New Roman" w:cs="Times New Roman"/>
          <w:bCs/>
          <w:color w:val="002060"/>
          <w:sz w:val="27"/>
          <w:szCs w:val="27"/>
        </w:rPr>
        <w:t>в рамках взаимодействия с Управлением Судебных приставов по Кемеровской области информирует!</w:t>
      </w:r>
    </w:p>
    <w:p w:rsidR="00627298" w:rsidRPr="00D04663" w:rsidRDefault="00F05CC0" w:rsidP="00F969A9">
      <w:pPr>
        <w:pStyle w:val="a3"/>
        <w:spacing w:before="0" w:beforeAutospacing="0" w:after="0" w:afterAutospacing="0" w:line="360" w:lineRule="exact"/>
        <w:ind w:firstLine="708"/>
        <w:jc w:val="both"/>
        <w:rPr>
          <w:rStyle w:val="a5"/>
          <w:b/>
          <w:color w:val="002060"/>
          <w:sz w:val="27"/>
          <w:szCs w:val="27"/>
          <w:u w:val="none"/>
        </w:rPr>
      </w:pPr>
      <w:r w:rsidRPr="00D04663">
        <w:rPr>
          <w:rStyle w:val="a5"/>
          <w:b/>
          <w:color w:val="002060"/>
          <w:sz w:val="27"/>
          <w:szCs w:val="27"/>
          <w:u w:val="none"/>
        </w:rPr>
        <w:t>С</w:t>
      </w:r>
      <w:r w:rsidR="00393EF4" w:rsidRPr="00D04663">
        <w:rPr>
          <w:rStyle w:val="a5"/>
          <w:b/>
          <w:color w:val="002060"/>
          <w:sz w:val="27"/>
          <w:szCs w:val="27"/>
          <w:u w:val="none"/>
        </w:rPr>
        <w:t xml:space="preserve"> 27.09.2021 вступили в силу изменения в статью 98 Федерального закона от 02.10.2007 №229-ФЗ «Об исполнительном </w:t>
      </w:r>
      <w:r w:rsidRPr="00D04663">
        <w:rPr>
          <w:rStyle w:val="a5"/>
          <w:b/>
          <w:color w:val="002060"/>
          <w:sz w:val="27"/>
          <w:szCs w:val="27"/>
          <w:u w:val="none"/>
        </w:rPr>
        <w:t xml:space="preserve">производстве» по изменению порядка перечисления денежных средств лицами, выплачивающими должнику заработную плату или иные периодические платежи. </w:t>
      </w:r>
    </w:p>
    <w:p w:rsidR="00F969A9" w:rsidRPr="00D04663" w:rsidRDefault="00D55BB6" w:rsidP="00F969A9">
      <w:pPr>
        <w:pStyle w:val="a3"/>
        <w:spacing w:before="0" w:beforeAutospacing="0" w:after="0" w:afterAutospacing="0" w:line="360" w:lineRule="exact"/>
        <w:ind w:firstLine="708"/>
        <w:jc w:val="both"/>
        <w:rPr>
          <w:color w:val="002060"/>
          <w:sz w:val="27"/>
          <w:szCs w:val="27"/>
          <w:shd w:val="clear" w:color="auto" w:fill="FFFFFF"/>
        </w:rPr>
      </w:pPr>
      <w:r w:rsidRPr="00D04663">
        <w:rPr>
          <w:color w:val="002060"/>
          <w:sz w:val="27"/>
          <w:szCs w:val="27"/>
          <w:shd w:val="clear" w:color="auto" w:fill="FFFFFF"/>
        </w:rPr>
        <w:t>По исполнительным документам, выписанным начиная </w:t>
      </w:r>
      <w:r w:rsidRPr="00D04663">
        <w:rPr>
          <w:bCs/>
          <w:color w:val="002060"/>
          <w:sz w:val="27"/>
          <w:szCs w:val="27"/>
          <w:shd w:val="clear" w:color="auto" w:fill="FFFFFF"/>
        </w:rPr>
        <w:t>с</w:t>
      </w:r>
      <w:r w:rsidRPr="00D04663">
        <w:rPr>
          <w:color w:val="002060"/>
          <w:sz w:val="27"/>
          <w:szCs w:val="27"/>
          <w:shd w:val="clear" w:color="auto" w:fill="FFFFFF"/>
        </w:rPr>
        <w:t> 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27</w:t>
      </w:r>
      <w:r w:rsidRPr="00D04663">
        <w:rPr>
          <w:b/>
          <w:color w:val="002060"/>
          <w:sz w:val="27"/>
          <w:szCs w:val="27"/>
          <w:shd w:val="clear" w:color="auto" w:fill="FFFFFF"/>
        </w:rPr>
        <w:t>.09.2021</w:t>
      </w:r>
      <w:r w:rsidRPr="00D04663">
        <w:rPr>
          <w:color w:val="002060"/>
          <w:sz w:val="27"/>
          <w:szCs w:val="27"/>
          <w:shd w:val="clear" w:color="auto" w:fill="FFFFFF"/>
        </w:rPr>
        <w:t xml:space="preserve"> </w:t>
      </w:r>
      <w:r w:rsidRPr="00D04663">
        <w:rPr>
          <w:b/>
          <w:color w:val="002060"/>
          <w:sz w:val="27"/>
          <w:szCs w:val="27"/>
          <w:shd w:val="clear" w:color="auto" w:fill="FFFFFF"/>
        </w:rPr>
        <w:t>и позднее</w:t>
      </w:r>
      <w:r w:rsidRPr="00D04663">
        <w:rPr>
          <w:color w:val="002060"/>
          <w:sz w:val="27"/>
          <w:szCs w:val="27"/>
          <w:shd w:val="clear" w:color="auto" w:fill="FFFFFF"/>
        </w:rPr>
        <w:t>, алименты перечисляются 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на</w:t>
      </w:r>
      <w:r w:rsidRPr="00D04663">
        <w:rPr>
          <w:color w:val="002060"/>
          <w:sz w:val="27"/>
          <w:szCs w:val="27"/>
          <w:shd w:val="clear" w:color="auto" w:fill="FFFFFF"/>
        </w:rPr>
        <w:t> 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депозитный</w:t>
      </w:r>
      <w:r w:rsidRPr="00D04663">
        <w:rPr>
          <w:color w:val="002060"/>
          <w:sz w:val="27"/>
          <w:szCs w:val="27"/>
          <w:shd w:val="clear" w:color="auto" w:fill="FFFFFF"/>
        </w:rPr>
        <w:t> 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счет</w:t>
      </w:r>
      <w:r w:rsidRPr="00D04663">
        <w:rPr>
          <w:color w:val="002060"/>
          <w:sz w:val="27"/>
          <w:szCs w:val="27"/>
          <w:shd w:val="clear" w:color="auto" w:fill="FFFFFF"/>
        </w:rPr>
        <w:t> </w:t>
      </w:r>
      <w:r w:rsidR="00F969A9" w:rsidRPr="00D04663">
        <w:rPr>
          <w:color w:val="002060"/>
          <w:sz w:val="27"/>
          <w:szCs w:val="27"/>
          <w:shd w:val="clear" w:color="auto" w:fill="FFFFFF"/>
        </w:rPr>
        <w:t>структурного подразделения судебных приставов</w:t>
      </w:r>
      <w:r w:rsidRPr="00D04663">
        <w:rPr>
          <w:color w:val="002060"/>
          <w:sz w:val="27"/>
          <w:szCs w:val="27"/>
          <w:shd w:val="clear" w:color="auto" w:fill="FFFFFF"/>
        </w:rPr>
        <w:t>. </w:t>
      </w:r>
    </w:p>
    <w:p w:rsidR="00D55BB6" w:rsidRPr="00D04663" w:rsidRDefault="00D55BB6" w:rsidP="00F969A9">
      <w:pPr>
        <w:pStyle w:val="a3"/>
        <w:spacing w:before="0" w:beforeAutospacing="0" w:after="0" w:afterAutospacing="0" w:line="360" w:lineRule="exact"/>
        <w:ind w:firstLine="708"/>
        <w:jc w:val="both"/>
        <w:rPr>
          <w:rStyle w:val="a5"/>
          <w:color w:val="002060"/>
          <w:sz w:val="27"/>
          <w:szCs w:val="27"/>
          <w:u w:val="none"/>
        </w:rPr>
      </w:pPr>
      <w:r w:rsidRPr="00D04663">
        <w:rPr>
          <w:b/>
          <w:bCs/>
          <w:color w:val="002060"/>
          <w:sz w:val="27"/>
          <w:szCs w:val="27"/>
          <w:shd w:val="clear" w:color="auto" w:fill="FFFFFF"/>
        </w:rPr>
        <w:t>По</w:t>
      </w:r>
      <w:r w:rsidRPr="00D04663">
        <w:rPr>
          <w:color w:val="002060"/>
          <w:sz w:val="27"/>
          <w:szCs w:val="27"/>
          <w:shd w:val="clear" w:color="auto" w:fill="FFFFFF"/>
        </w:rPr>
        <w:t> </w:t>
      </w:r>
      <w:r w:rsidR="00F969A9" w:rsidRPr="00D04663">
        <w:rPr>
          <w:color w:val="002060"/>
          <w:sz w:val="27"/>
          <w:szCs w:val="27"/>
          <w:shd w:val="clear" w:color="auto" w:fill="FFFFFF"/>
        </w:rPr>
        <w:t>«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старым</w:t>
      </w:r>
      <w:r w:rsidR="00F969A9" w:rsidRPr="00D04663">
        <w:rPr>
          <w:color w:val="002060"/>
          <w:sz w:val="27"/>
          <w:szCs w:val="27"/>
          <w:shd w:val="clear" w:color="auto" w:fill="FFFFFF"/>
        </w:rPr>
        <w:t>»</w:t>
      </w:r>
      <w:r w:rsidRPr="00D04663">
        <w:rPr>
          <w:color w:val="002060"/>
          <w:sz w:val="27"/>
          <w:szCs w:val="27"/>
          <w:shd w:val="clear" w:color="auto" w:fill="FFFFFF"/>
        </w:rPr>
        <w:t xml:space="preserve"> исполнительным документам алименты перечисляются в прежнем порядке до получения от приставов документов с обновленными реквизитами для </w:t>
      </w:r>
      <w:r w:rsidRPr="00D04663">
        <w:rPr>
          <w:b/>
          <w:bCs/>
          <w:color w:val="002060"/>
          <w:sz w:val="27"/>
          <w:szCs w:val="27"/>
          <w:shd w:val="clear" w:color="auto" w:fill="FFFFFF"/>
        </w:rPr>
        <w:t>перечисления</w:t>
      </w:r>
      <w:r w:rsidRPr="00D04663">
        <w:rPr>
          <w:color w:val="002060"/>
          <w:sz w:val="27"/>
          <w:szCs w:val="27"/>
          <w:shd w:val="clear" w:color="auto" w:fill="FFFFFF"/>
        </w:rPr>
        <w:t> удержанных сумм.</w:t>
      </w:r>
    </w:p>
    <w:p w:rsidR="00F05CC0" w:rsidRPr="00D04663" w:rsidRDefault="00F05CC0" w:rsidP="00D55BB6">
      <w:pPr>
        <w:spacing w:before="75" w:after="0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</w:pPr>
    </w:p>
    <w:p w:rsidR="00F969A9" w:rsidRDefault="00F969A9" w:rsidP="00D55BB6">
      <w:pPr>
        <w:spacing w:before="75" w:after="0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D04663" w:rsidRDefault="00AB748C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</w:pPr>
      <w:r w:rsidRPr="00D04663"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  <w:t>ГУ – Кузбасское региональное отделение Фонда</w:t>
      </w:r>
      <w:bookmarkStart w:id="0" w:name="_GoBack"/>
      <w:bookmarkEnd w:id="0"/>
      <w:r w:rsidRPr="00D04663"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  <w:t xml:space="preserve"> социального </w:t>
      </w:r>
      <w:r w:rsidR="00BA1598" w:rsidRPr="00D04663"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  <w:t>с</w:t>
      </w:r>
      <w:r w:rsidRPr="00D04663">
        <w:rPr>
          <w:rStyle w:val="a5"/>
          <w:rFonts w:ascii="Times New Roman" w:hAnsi="Times New Roman" w:cs="Times New Roman"/>
          <w:b/>
          <w:color w:val="17365D" w:themeColor="text2" w:themeShade="BF"/>
          <w:sz w:val="27"/>
          <w:szCs w:val="27"/>
          <w:u w:val="none"/>
        </w:rPr>
        <w:t>трахования РФ</w:t>
      </w:r>
    </w:p>
    <w:sectPr w:rsidR="00AB748C" w:rsidRPr="00D04663" w:rsidSect="00D55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6"/>
  </w:num>
  <w:num w:numId="9">
    <w:abstractNumId w:val="15"/>
  </w:num>
  <w:num w:numId="10">
    <w:abstractNumId w:val="24"/>
  </w:num>
  <w:num w:numId="11">
    <w:abstractNumId w:val="23"/>
  </w:num>
  <w:num w:numId="12">
    <w:abstractNumId w:val="20"/>
  </w:num>
  <w:num w:numId="13">
    <w:abstractNumId w:val="0"/>
  </w:num>
  <w:num w:numId="14">
    <w:abstractNumId w:val="2"/>
  </w:num>
  <w:num w:numId="15">
    <w:abstractNumId w:val="1"/>
  </w:num>
  <w:num w:numId="16">
    <w:abstractNumId w:val="27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25"/>
  </w:num>
  <w:num w:numId="22">
    <w:abstractNumId w:val="16"/>
  </w:num>
  <w:num w:numId="23">
    <w:abstractNumId w:val="9"/>
  </w:num>
  <w:num w:numId="24">
    <w:abstractNumId w:val="11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3EF4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39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31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663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2F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5BB6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CC0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69A9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62FA-38AC-4799-8F1C-AA6E22E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2F"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table" w:styleId="aa">
    <w:name w:val="Table Grid"/>
    <w:basedOn w:val="a1"/>
    <w:uiPriority w:val="59"/>
    <w:rsid w:val="00D5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1A3-ED69-41A3-962E-0B483829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</cp:revision>
  <cp:lastPrinted>2020-06-30T02:49:00Z</cp:lastPrinted>
  <dcterms:created xsi:type="dcterms:W3CDTF">2021-11-01T03:45:00Z</dcterms:created>
  <dcterms:modified xsi:type="dcterms:W3CDTF">2021-11-01T03:45:00Z</dcterms:modified>
</cp:coreProperties>
</file>