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Pr="000E4E4E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10"/>
          <w:szCs w:val="10"/>
        </w:rPr>
      </w:pPr>
    </w:p>
    <w:p w:rsidR="00402105" w:rsidRPr="000C5C9B" w:rsidRDefault="001064CE" w:rsidP="0040210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 СВОЕВРЕМЕННОМ ПРЕДОСТАВЛЕНИИ ОТЧЕТНОСТИ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  <w:r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1064CE" w:rsidRPr="00676C04" w:rsidRDefault="001064CE" w:rsidP="00D20060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76C04">
        <w:rPr>
          <w:rFonts w:ascii="Times New Roman" w:hAnsi="Times New Roman" w:cs="Times New Roman"/>
          <w:color w:val="002060"/>
          <w:sz w:val="28"/>
          <w:szCs w:val="28"/>
        </w:rPr>
        <w:t>Государственное учреждение – Кузбасское региональное отделение Фонда социального страхования Российской Федерации сообщает.</w:t>
      </w:r>
    </w:p>
    <w:p w:rsidR="004430A2" w:rsidRPr="00676C04" w:rsidRDefault="004430A2" w:rsidP="00D20060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021B3" w:rsidRPr="00676C04" w:rsidRDefault="00D20060" w:rsidP="00D2006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2060"/>
          <w:sz w:val="28"/>
          <w:szCs w:val="28"/>
          <w:shd w:val="clear" w:color="auto" w:fill="FFFFFF"/>
        </w:rPr>
      </w:pPr>
      <w:r w:rsidRPr="00676C04">
        <w:rPr>
          <w:color w:val="002060"/>
          <w:sz w:val="28"/>
          <w:szCs w:val="28"/>
        </w:rPr>
        <w:t>C 1 января 2022 года на ФНС России </w:t>
      </w:r>
      <w:hyperlink r:id="rId7" w:tgtFrame="_blank" w:history="1">
        <w:r w:rsidRPr="00676C04">
          <w:rPr>
            <w:rStyle w:val="a5"/>
            <w:color w:val="002060"/>
            <w:sz w:val="28"/>
            <w:szCs w:val="28"/>
          </w:rPr>
          <w:t>возлагаются функции</w:t>
        </w:r>
      </w:hyperlink>
      <w:r w:rsidRPr="00676C04">
        <w:rPr>
          <w:color w:val="002060"/>
          <w:sz w:val="28"/>
          <w:szCs w:val="28"/>
        </w:rPr>
        <w:t xml:space="preserve"> по выпуску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 </w:t>
      </w:r>
      <w:r w:rsidRPr="00676C04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 xml:space="preserve">Инспекции Федеральной налоговой службы предоставляют юридическим лицам и индивидуальным предпринимателям </w:t>
      </w:r>
      <w:r w:rsidRPr="00676C04"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  <w:t>бесплатную</w:t>
      </w:r>
      <w:r w:rsidRPr="00676C04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 xml:space="preserve"> электронно-цифровую подпись при наличии </w:t>
      </w:r>
      <w:r w:rsidRPr="00676C04">
        <w:rPr>
          <w:color w:val="002060"/>
          <w:sz w:val="28"/>
          <w:szCs w:val="28"/>
          <w:shd w:val="clear" w:color="auto" w:fill="FFFFFF"/>
        </w:rPr>
        <w:t>сертифицированного персонального устройства для безопасного хранения и использования ключей электронной подписи и сертификатов (</w:t>
      </w:r>
      <w:proofErr w:type="spellStart"/>
      <w:r w:rsidRPr="00676C04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>eToken</w:t>
      </w:r>
      <w:proofErr w:type="spellEnd"/>
      <w:r w:rsidRPr="00676C04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676C04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>Рутокен</w:t>
      </w:r>
      <w:proofErr w:type="spellEnd"/>
      <w:r w:rsidRPr="00676C04">
        <w:rPr>
          <w:color w:val="002060"/>
          <w:sz w:val="28"/>
          <w:szCs w:val="28"/>
          <w:shd w:val="clear" w:color="auto" w:fill="FFFFFF"/>
        </w:rPr>
        <w:t xml:space="preserve"> и </w:t>
      </w:r>
      <w:proofErr w:type="spellStart"/>
      <w:r w:rsidRPr="00676C04">
        <w:rPr>
          <w:color w:val="002060"/>
          <w:sz w:val="28"/>
          <w:szCs w:val="28"/>
          <w:shd w:val="clear" w:color="auto" w:fill="FFFFFF"/>
        </w:rPr>
        <w:t>т.д</w:t>
      </w:r>
      <w:proofErr w:type="spellEnd"/>
      <w:r w:rsidRPr="00676C04">
        <w:rPr>
          <w:color w:val="002060"/>
          <w:sz w:val="28"/>
          <w:szCs w:val="28"/>
          <w:shd w:val="clear" w:color="auto" w:fill="FFFFFF"/>
        </w:rPr>
        <w:t xml:space="preserve">). </w:t>
      </w:r>
    </w:p>
    <w:p w:rsidR="00D20060" w:rsidRPr="00676C04" w:rsidRDefault="00D20060" w:rsidP="00D2006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2060"/>
          <w:sz w:val="28"/>
          <w:szCs w:val="28"/>
        </w:rPr>
      </w:pPr>
      <w:r w:rsidRPr="00676C04">
        <w:rPr>
          <w:color w:val="002060"/>
          <w:sz w:val="28"/>
          <w:szCs w:val="28"/>
        </w:rPr>
        <w:t xml:space="preserve">Срок действия КЭП, выпущенных коммерческими удостоверяющими центрами, </w:t>
      </w:r>
      <w:r w:rsidRPr="00676C04">
        <w:rPr>
          <w:b/>
          <w:color w:val="002060"/>
          <w:sz w:val="28"/>
          <w:szCs w:val="28"/>
        </w:rPr>
        <w:t>заканчивается 1 января 2022 года.</w:t>
      </w:r>
      <w:r w:rsidRPr="00676C04">
        <w:rPr>
          <w:color w:val="002060"/>
          <w:sz w:val="28"/>
          <w:szCs w:val="28"/>
        </w:rPr>
        <w:t xml:space="preserve"> </w:t>
      </w:r>
    </w:p>
    <w:p w:rsidR="004430A2" w:rsidRPr="00676C04" w:rsidRDefault="004430A2" w:rsidP="00D2006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2060"/>
          <w:sz w:val="28"/>
          <w:szCs w:val="28"/>
        </w:rPr>
      </w:pPr>
    </w:p>
    <w:p w:rsidR="00676C04" w:rsidRPr="00676C04" w:rsidRDefault="00676C04" w:rsidP="00676C04">
      <w:pPr>
        <w:spacing w:after="0" w:line="264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76C04">
        <w:rPr>
          <w:b/>
          <w:noProof/>
          <w:color w:val="002060"/>
          <w:sz w:val="26"/>
          <w:szCs w:val="26"/>
          <w:shd w:val="clear" w:color="auto" w:fill="FFFFFF"/>
        </w:rPr>
        <w:drawing>
          <wp:anchor distT="0" distB="0" distL="114300" distR="114300" simplePos="0" relativeHeight="251689984" behindDoc="1" locked="0" layoutInCell="1" allowOverlap="1" wp14:anchorId="1E0A656B" wp14:editId="0FE16C87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504825" cy="723900"/>
            <wp:effectExtent l="0" t="0" r="9525" b="0"/>
            <wp:wrapTight wrapText="bothSides">
              <wp:wrapPolygon edited="0">
                <wp:start x="4075" y="0"/>
                <wp:lineTo x="3260" y="568"/>
                <wp:lineTo x="4891" y="19326"/>
                <wp:lineTo x="8966" y="21032"/>
                <wp:lineTo x="12226" y="21032"/>
                <wp:lineTo x="21192" y="21032"/>
                <wp:lineTo x="21192" y="11368"/>
                <wp:lineTo x="20377" y="9095"/>
                <wp:lineTo x="17932" y="6253"/>
                <wp:lineTo x="10596" y="0"/>
                <wp:lineTo x="4075" y="0"/>
              </wp:wrapPolygon>
            </wp:wrapTight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Напоминаем!</w:t>
      </w:r>
    </w:p>
    <w:p w:rsidR="00455EBD" w:rsidRPr="00676C04" w:rsidRDefault="00455EBD" w:rsidP="00676C04">
      <w:pPr>
        <w:spacing w:after="0" w:line="264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соответствии с Федеральным законом от 24 июля 1998 г. № 125-ФЗ «Об обязательном социальном страховании от несчастных случаев на производстве и профессиональных заболеваний»</w:t>
      </w:r>
      <w:r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(далее –Федеральный закон №125-ФЗ)</w:t>
      </w:r>
      <w:r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 обязанности страхователя входит ведение учета и отчетности по начисленным и уплаченным страховым взносам в Фонд социального страхования Российской Федерации.</w:t>
      </w:r>
    </w:p>
    <w:p w:rsidR="001064CE" w:rsidRPr="00676C04" w:rsidRDefault="00455EBD" w:rsidP="00D20060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76C04">
        <w:rPr>
          <w:rFonts w:ascii="Times New Roman" w:hAnsi="Times New Roman" w:cs="Times New Roman"/>
          <w:color w:val="002060"/>
          <w:sz w:val="28"/>
          <w:szCs w:val="28"/>
        </w:rPr>
        <w:t>Статьей</w:t>
      </w:r>
      <w:r w:rsidR="001064CE" w:rsidRPr="00676C04">
        <w:rPr>
          <w:rFonts w:ascii="Times New Roman" w:hAnsi="Times New Roman" w:cs="Times New Roman"/>
          <w:color w:val="002060"/>
          <w:sz w:val="28"/>
          <w:szCs w:val="28"/>
        </w:rPr>
        <w:t xml:space="preserve"> 26.30 </w:t>
      </w:r>
      <w:r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Федеральный закон №125-ФЗ</w:t>
      </w:r>
      <w:r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F34034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за </w:t>
      </w:r>
      <w:r w:rsidR="001064CE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 </w:t>
      </w:r>
      <w:hyperlink r:id="rId9" w:anchor="/document/12112505/entry/240" w:history="1">
        <w:r w:rsidR="001064CE" w:rsidRPr="00676C04">
          <w:rPr>
            <w:rFonts w:ascii="Times New Roman" w:hAnsi="Times New Roman" w:cs="Times New Roman"/>
            <w:color w:val="002060"/>
            <w:sz w:val="28"/>
            <w:szCs w:val="28"/>
          </w:rPr>
          <w:t>срок</w:t>
        </w:r>
      </w:hyperlink>
      <w:r w:rsidR="001064CE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установленный настоящим Федеральным законом, влечет </w:t>
      </w:r>
      <w:r w:rsidR="001064CE" w:rsidRPr="00676C0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взыскание штрафа в размере 5 процентов суммы страховых взносов</w:t>
      </w:r>
      <w:r w:rsidR="001064CE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начисленной к уплате за последние три месяца отчетного (расчетного) периода, за каждый полный или неполный месяц со дня, установленного для ее представления, но не более 30 процентов указанной суммы и </w:t>
      </w:r>
      <w:r w:rsidR="001064CE" w:rsidRPr="00676C0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не менее 1000 рублей</w:t>
      </w:r>
      <w:r w:rsidR="001064CE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Кроме того, </w:t>
      </w:r>
      <w:r w:rsidR="004430A2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Административным Кодексом Российской Федерации предусмотрена административная ответственность за нарушение срока представления отчета по начисленным и уплаченным страховым взносам </w:t>
      </w:r>
      <w:r w:rsidR="001064CE" w:rsidRPr="00676C0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 размере </w:t>
      </w:r>
      <w:r w:rsidR="004430A2" w:rsidRPr="00676C0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от трехсот по пятисот </w:t>
      </w:r>
      <w:r w:rsidR="001064CE" w:rsidRPr="00676C0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рублей</w:t>
      </w:r>
      <w:r w:rsidR="004430A2" w:rsidRPr="00676C0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4430A2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(часть 2 статьи 15.33 АК РФ)</w:t>
      </w:r>
      <w:r w:rsidR="001064CE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:rsidR="000E4E4E" w:rsidRDefault="000E4E4E" w:rsidP="000E4E4E">
      <w:pPr>
        <w:pStyle w:val="a3"/>
        <w:spacing w:before="0" w:beforeAutospacing="0" w:after="80" w:afterAutospacing="0" w:line="276" w:lineRule="auto"/>
        <w:ind w:left="1985" w:firstLine="142"/>
        <w:jc w:val="both"/>
        <w:rPr>
          <w:color w:val="1F497D" w:themeColor="text2"/>
          <w:sz w:val="26"/>
          <w:szCs w:val="26"/>
        </w:rPr>
      </w:pPr>
    </w:p>
    <w:p w:rsidR="000E4E4E" w:rsidRDefault="000E4E4E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  <w:bookmarkStart w:id="0" w:name="_GoBack"/>
      <w:bookmarkEnd w:id="0"/>
    </w:p>
    <w:p w:rsidR="00106753" w:rsidRDefault="006371B4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b/>
          <w:i/>
          <w:color w:val="1F497D" w:themeColor="text2"/>
          <w:sz w:val="26"/>
          <w:szCs w:val="2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7C88FB96" wp14:editId="2E28970A">
            <wp:simplePos x="0" y="0"/>
            <wp:positionH relativeFrom="page">
              <wp:posOffset>12700</wp:posOffset>
            </wp:positionH>
            <wp:positionV relativeFrom="page">
              <wp:posOffset>10325100</wp:posOffset>
            </wp:positionV>
            <wp:extent cx="7534275" cy="3670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753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6086B70"/>
    <w:multiLevelType w:val="hybridMultilevel"/>
    <w:tmpl w:val="54244C2C"/>
    <w:lvl w:ilvl="0" w:tplc="4D148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3016A"/>
    <w:multiLevelType w:val="hybridMultilevel"/>
    <w:tmpl w:val="406A9326"/>
    <w:lvl w:ilvl="0" w:tplc="BF5E0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B28A6"/>
    <w:multiLevelType w:val="hybridMultilevel"/>
    <w:tmpl w:val="4580D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4"/>
  </w:num>
  <w:num w:numId="8">
    <w:abstractNumId w:val="19"/>
  </w:num>
  <w:num w:numId="9">
    <w:abstractNumId w:val="11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21"/>
  </w:num>
  <w:num w:numId="17">
    <w:abstractNumId w:val="20"/>
  </w:num>
  <w:num w:numId="18">
    <w:abstractNumId w:val="16"/>
  </w:num>
  <w:num w:numId="19">
    <w:abstractNumId w:val="4"/>
  </w:num>
  <w:num w:numId="20">
    <w:abstractNumId w:val="18"/>
  </w:num>
  <w:num w:numId="21">
    <w:abstractNumId w:val="7"/>
  </w:num>
  <w:num w:numId="22">
    <w:abstractNumId w:val="1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516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5C9B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4E4E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4CE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10F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EEF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365D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4AC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17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D5D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05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0A2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5EBD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52B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C2D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6C04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A7F54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063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1B3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1B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D4C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4DA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08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AD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060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41A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99B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7DC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49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034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D1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kremlin.ru/acts/bank/329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CB9D-1A8B-4FA2-89BF-E39CB192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Горбачева Светлана Валерьевна</cp:lastModifiedBy>
  <cp:revision>7</cp:revision>
  <cp:lastPrinted>2020-01-23T06:36:00Z</cp:lastPrinted>
  <dcterms:created xsi:type="dcterms:W3CDTF">2022-01-13T03:17:00Z</dcterms:created>
  <dcterms:modified xsi:type="dcterms:W3CDTF">2022-01-13T03:29:00Z</dcterms:modified>
</cp:coreProperties>
</file>