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265BF0" w:rsidRDefault="00E639D3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265BF0" w:rsidRDefault="00374426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3B7E" w:rsidRPr="00265BF0" w:rsidRDefault="00703B7E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265BF0" w:rsidRDefault="00703B7E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265BF0" w:rsidRDefault="00703B7E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13A7B" w:rsidRDefault="003134CC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а</w:t>
      </w:r>
      <w:r w:rsidR="00374426" w:rsidRPr="00265BF0">
        <w:rPr>
          <w:rFonts w:cs="Arial"/>
          <w:b/>
          <w:bCs/>
          <w:kern w:val="28"/>
          <w:sz w:val="32"/>
          <w:szCs w:val="32"/>
        </w:rPr>
        <w:t xml:space="preserve">дминистрация </w:t>
      </w:r>
    </w:p>
    <w:p w:rsidR="00374426" w:rsidRPr="00265BF0" w:rsidRDefault="00374426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2E4970" w:rsidRPr="00265BF0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265BF0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FB401F" w:rsidRPr="00265BF0" w:rsidRDefault="00FB401F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265BF0" w:rsidRDefault="00930A8F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F004E" w:rsidRPr="00265BF0" w:rsidRDefault="00DE02AA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302AA" w:rsidRPr="00265BF0">
        <w:rPr>
          <w:rFonts w:cs="Arial"/>
          <w:b/>
          <w:bCs/>
          <w:kern w:val="28"/>
          <w:sz w:val="32"/>
          <w:szCs w:val="32"/>
        </w:rPr>
        <w:t>31.</w:t>
      </w:r>
      <w:r w:rsidR="00CD36F2" w:rsidRPr="00265BF0">
        <w:rPr>
          <w:rFonts w:cs="Arial"/>
          <w:b/>
          <w:bCs/>
          <w:kern w:val="28"/>
          <w:sz w:val="32"/>
          <w:szCs w:val="32"/>
        </w:rPr>
        <w:t>1</w:t>
      </w:r>
      <w:r w:rsidR="00E302AA" w:rsidRPr="00265BF0">
        <w:rPr>
          <w:rFonts w:cs="Arial"/>
          <w:b/>
          <w:bCs/>
          <w:kern w:val="28"/>
          <w:sz w:val="32"/>
          <w:szCs w:val="32"/>
        </w:rPr>
        <w:t>0.13</w:t>
      </w:r>
      <w:r w:rsidRPr="00265BF0">
        <w:rPr>
          <w:rFonts w:cs="Arial"/>
          <w:b/>
          <w:bCs/>
          <w:kern w:val="28"/>
          <w:sz w:val="32"/>
          <w:szCs w:val="32"/>
        </w:rPr>
        <w:t xml:space="preserve"> </w:t>
      </w:r>
      <w:r w:rsidR="00E302AA" w:rsidRPr="00265BF0">
        <w:rPr>
          <w:rFonts w:cs="Arial"/>
          <w:b/>
          <w:bCs/>
          <w:kern w:val="28"/>
          <w:sz w:val="32"/>
          <w:szCs w:val="32"/>
        </w:rPr>
        <w:t>1917- П</w:t>
      </w:r>
    </w:p>
    <w:p w:rsidR="009F004E" w:rsidRPr="00265BF0" w:rsidRDefault="009F004E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E5EFD" w:rsidRPr="00265BF0" w:rsidRDefault="00E302AA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Об основных направлениях бюджетной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  <w:r w:rsidRPr="00265BF0">
        <w:rPr>
          <w:rFonts w:cs="Arial"/>
          <w:b/>
          <w:bCs/>
          <w:kern w:val="28"/>
          <w:sz w:val="32"/>
          <w:szCs w:val="32"/>
        </w:rPr>
        <w:t>и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  <w:r w:rsidR="00CD36F2" w:rsidRPr="00265BF0">
        <w:rPr>
          <w:rFonts w:cs="Arial"/>
          <w:b/>
          <w:bCs/>
          <w:kern w:val="28"/>
          <w:sz w:val="32"/>
          <w:szCs w:val="32"/>
        </w:rPr>
        <w:t xml:space="preserve">налоговой </w:t>
      </w:r>
      <w:r w:rsidRPr="00265BF0">
        <w:rPr>
          <w:rFonts w:cs="Arial"/>
          <w:b/>
          <w:bCs/>
          <w:kern w:val="28"/>
          <w:sz w:val="32"/>
          <w:szCs w:val="32"/>
        </w:rPr>
        <w:t>п</w:t>
      </w:r>
      <w:r w:rsidR="00CD36F2" w:rsidRPr="00265BF0">
        <w:rPr>
          <w:rFonts w:cs="Arial"/>
          <w:b/>
          <w:bCs/>
          <w:kern w:val="28"/>
          <w:sz w:val="32"/>
          <w:szCs w:val="32"/>
        </w:rPr>
        <w:t>олитики</w:t>
      </w:r>
      <w:r w:rsidRPr="00265BF0">
        <w:rPr>
          <w:rFonts w:cs="Arial"/>
          <w:b/>
          <w:bCs/>
          <w:kern w:val="28"/>
          <w:sz w:val="32"/>
          <w:szCs w:val="32"/>
        </w:rPr>
        <w:t xml:space="preserve"> на 2014-2016 годы</w:t>
      </w:r>
    </w:p>
    <w:p w:rsidR="00E302AA" w:rsidRPr="00265BF0" w:rsidRDefault="00E302AA" w:rsidP="00DE02A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302AA" w:rsidRPr="00265BF0" w:rsidRDefault="00E302AA" w:rsidP="00DE02AA">
      <w:r w:rsidRPr="00265BF0">
        <w:t xml:space="preserve">В соответствии с </w:t>
      </w:r>
      <w:hyperlink r:id="rId8" w:tgtFrame="Logical" w:history="1">
        <w:r w:rsidR="00461818" w:rsidRPr="00265BF0">
          <w:rPr>
            <w:rStyle w:val="aa"/>
            <w:color w:val="auto"/>
          </w:rPr>
          <w:t>Бюджетным кодексом Российской Федерации</w:t>
        </w:r>
      </w:hyperlink>
      <w:r w:rsidRPr="00265BF0">
        <w:t>, Положением</w:t>
      </w:r>
      <w:r w:rsidR="00DE02AA" w:rsidRPr="00265BF0">
        <w:t xml:space="preserve"> </w:t>
      </w:r>
      <w:r w:rsidRPr="00265BF0">
        <w:t>«О бюджетном процессе Промышленновского муниципального района»:</w:t>
      </w:r>
    </w:p>
    <w:p w:rsidR="00E302AA" w:rsidRPr="00265BF0" w:rsidRDefault="00DE02AA" w:rsidP="00DE02AA">
      <w:r w:rsidRPr="00265BF0">
        <w:t xml:space="preserve"> </w:t>
      </w:r>
      <w:r w:rsidR="00E302AA" w:rsidRPr="00265BF0">
        <w:t>1. Утвердить основные направления бюджетной и налоговой политики на 2014-2016 годы согласно приложению.</w:t>
      </w:r>
    </w:p>
    <w:p w:rsidR="00E302AA" w:rsidRPr="00265BF0" w:rsidRDefault="00DE02AA" w:rsidP="00DE02AA">
      <w:r w:rsidRPr="00265BF0">
        <w:t xml:space="preserve"> </w:t>
      </w:r>
      <w:r w:rsidR="00E302AA" w:rsidRPr="00265BF0">
        <w:t>2. Финансовому управлению по Промышленновскому району (Г.В.Анохиной),</w:t>
      </w:r>
      <w:r w:rsidR="00CD36F2" w:rsidRPr="00265BF0">
        <w:t xml:space="preserve"> </w:t>
      </w:r>
      <w:r w:rsidR="00E302AA" w:rsidRPr="00265BF0">
        <w:t>отраслевым органам администрации Промышленновского муниципального района планирование и исполнение районного бюджета на 2014 год и плановый период 2015 и 2016 годов осуществлять с учетом основных направлений бюджетной и налоговой политики на 2014-2016 годы.</w:t>
      </w:r>
    </w:p>
    <w:p w:rsidR="00E302AA" w:rsidRPr="00265BF0" w:rsidRDefault="00DE02AA" w:rsidP="00DE02AA">
      <w:r w:rsidRPr="00265BF0">
        <w:t xml:space="preserve"> </w:t>
      </w:r>
      <w:r w:rsidR="00E302AA" w:rsidRPr="00265BF0">
        <w:t>3. Постановление подлежит обнародованию на сайте администрации Промышленновского муниципального района и вступает в силу с момента подписания.</w:t>
      </w:r>
    </w:p>
    <w:p w:rsidR="00E302AA" w:rsidRPr="00265BF0" w:rsidRDefault="00DE02AA" w:rsidP="00DE02AA">
      <w:r w:rsidRPr="00265BF0">
        <w:t xml:space="preserve"> </w:t>
      </w:r>
      <w:r w:rsidR="00E302AA" w:rsidRPr="00265BF0">
        <w:t>4. Контроль за исполнением настоящего постановления возложить на заместителя Главы района по экономике О.А.Игину.</w:t>
      </w:r>
    </w:p>
    <w:p w:rsidR="00CD36F2" w:rsidRPr="00265BF0" w:rsidRDefault="00CD36F2" w:rsidP="00DE02AA">
      <w:pPr>
        <w:ind w:firstLine="0"/>
      </w:pPr>
    </w:p>
    <w:p w:rsidR="00DE02AA" w:rsidRPr="00265BF0" w:rsidRDefault="00CD36F2" w:rsidP="00DE02AA">
      <w:pPr>
        <w:ind w:firstLine="0"/>
      </w:pPr>
      <w:r w:rsidRPr="00265BF0">
        <w:t>Глава района</w:t>
      </w:r>
    </w:p>
    <w:p w:rsidR="00CD36F2" w:rsidRPr="00265BF0" w:rsidRDefault="00CD36F2" w:rsidP="00DE02AA">
      <w:pPr>
        <w:ind w:firstLine="0"/>
      </w:pPr>
      <w:r w:rsidRPr="00265BF0">
        <w:t>А.И.Шмидт</w:t>
      </w:r>
    </w:p>
    <w:p w:rsidR="00E302AA" w:rsidRPr="00265BF0" w:rsidRDefault="00E302AA" w:rsidP="00DE02AA">
      <w:pPr>
        <w:ind w:firstLine="0"/>
      </w:pPr>
    </w:p>
    <w:p w:rsidR="00C464FC" w:rsidRPr="00265BF0" w:rsidRDefault="00C464FC" w:rsidP="00DE02A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464FC" w:rsidRPr="00265BF0" w:rsidRDefault="00C464FC" w:rsidP="00DE02A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464FC" w:rsidRPr="00265BF0" w:rsidRDefault="00C464FC" w:rsidP="00DE02A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</w:p>
    <w:p w:rsidR="00265BF0" w:rsidRDefault="00265BF0" w:rsidP="00265B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муниципального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C464FC" w:rsidRPr="00265BF0">
        <w:rPr>
          <w:rFonts w:cs="Arial"/>
          <w:b/>
          <w:bCs/>
          <w:kern w:val="28"/>
          <w:sz w:val="32"/>
          <w:szCs w:val="32"/>
        </w:rPr>
        <w:t>района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464FC" w:rsidRPr="00265BF0" w:rsidRDefault="00C464FC" w:rsidP="00265B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65BF0">
        <w:rPr>
          <w:rFonts w:cs="Arial"/>
          <w:b/>
          <w:bCs/>
          <w:kern w:val="28"/>
          <w:sz w:val="32"/>
          <w:szCs w:val="32"/>
        </w:rPr>
        <w:t>от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  <w:r w:rsidRPr="00265BF0">
        <w:rPr>
          <w:rFonts w:cs="Arial"/>
          <w:b/>
          <w:bCs/>
          <w:kern w:val="28"/>
          <w:sz w:val="32"/>
          <w:szCs w:val="32"/>
        </w:rPr>
        <w:t>31 октября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65BF0">
          <w:rPr>
            <w:rFonts w:cs="Arial"/>
            <w:b/>
            <w:bCs/>
            <w:kern w:val="28"/>
            <w:sz w:val="32"/>
            <w:szCs w:val="32"/>
          </w:rPr>
          <w:t>2013 г</w:t>
        </w:r>
      </w:smartTag>
      <w:r w:rsidRPr="00265BF0">
        <w:rPr>
          <w:rFonts w:cs="Arial"/>
          <w:b/>
          <w:bCs/>
          <w:kern w:val="28"/>
          <w:sz w:val="32"/>
          <w:szCs w:val="32"/>
        </w:rPr>
        <w:t>. N 1917-П</w:t>
      </w:r>
      <w:r w:rsidR="00DE02AA" w:rsidRPr="00265BF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464FC" w:rsidRPr="00265BF0" w:rsidRDefault="00C464FC" w:rsidP="00DE02AA">
      <w:pPr>
        <w:ind w:firstLine="0"/>
      </w:pPr>
    </w:p>
    <w:p w:rsidR="00C464FC" w:rsidRPr="00265BF0" w:rsidRDefault="00C464FC" w:rsidP="00DE02A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65BF0">
        <w:rPr>
          <w:rFonts w:cs="Arial"/>
          <w:b/>
          <w:bCs/>
          <w:kern w:val="32"/>
          <w:sz w:val="32"/>
          <w:szCs w:val="32"/>
        </w:rPr>
        <w:t>Основные</w:t>
      </w:r>
      <w:r w:rsidR="00DE02AA" w:rsidRPr="00265BF0">
        <w:rPr>
          <w:rFonts w:cs="Arial"/>
          <w:b/>
          <w:bCs/>
          <w:kern w:val="32"/>
          <w:sz w:val="32"/>
          <w:szCs w:val="32"/>
        </w:rPr>
        <w:t xml:space="preserve"> </w:t>
      </w:r>
      <w:r w:rsidRPr="00265BF0">
        <w:rPr>
          <w:rFonts w:cs="Arial"/>
          <w:b/>
          <w:bCs/>
          <w:kern w:val="32"/>
          <w:sz w:val="32"/>
          <w:szCs w:val="32"/>
        </w:rPr>
        <w:t>направления</w:t>
      </w:r>
    </w:p>
    <w:p w:rsidR="00C464FC" w:rsidRPr="00265BF0" w:rsidRDefault="00C464FC" w:rsidP="00DE02A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65BF0">
        <w:rPr>
          <w:rFonts w:cs="Arial"/>
          <w:b/>
          <w:bCs/>
          <w:kern w:val="32"/>
          <w:sz w:val="32"/>
          <w:szCs w:val="32"/>
        </w:rPr>
        <w:t>бюджетной и налоговой</w:t>
      </w:r>
      <w:r w:rsidR="00DE02AA" w:rsidRPr="00265BF0">
        <w:rPr>
          <w:rFonts w:cs="Arial"/>
          <w:b/>
          <w:bCs/>
          <w:kern w:val="32"/>
          <w:sz w:val="32"/>
          <w:szCs w:val="32"/>
        </w:rPr>
        <w:t xml:space="preserve"> </w:t>
      </w:r>
      <w:r w:rsidRPr="00265BF0">
        <w:rPr>
          <w:rFonts w:cs="Arial"/>
          <w:b/>
          <w:bCs/>
          <w:kern w:val="32"/>
          <w:sz w:val="32"/>
          <w:szCs w:val="32"/>
        </w:rPr>
        <w:t>политики</w:t>
      </w:r>
    </w:p>
    <w:p w:rsidR="00C464FC" w:rsidRPr="00265BF0" w:rsidRDefault="00C464FC" w:rsidP="00DE02A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65BF0">
        <w:rPr>
          <w:rFonts w:cs="Arial"/>
          <w:b/>
          <w:bCs/>
          <w:kern w:val="32"/>
          <w:sz w:val="32"/>
          <w:szCs w:val="32"/>
        </w:rPr>
        <w:t>на 2014 - 2016 годы</w:t>
      </w:r>
    </w:p>
    <w:p w:rsidR="00DE02AA" w:rsidRPr="00265BF0" w:rsidRDefault="00DE02AA" w:rsidP="00DE02A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265BF0">
        <w:rPr>
          <w:rFonts w:cs="Arial"/>
          <w:b/>
          <w:bCs/>
          <w:iCs/>
          <w:sz w:val="30"/>
          <w:szCs w:val="28"/>
        </w:rPr>
        <w:t>Общие положения</w:t>
      </w:r>
    </w:p>
    <w:p w:rsidR="00DE02AA" w:rsidRPr="00265BF0" w:rsidRDefault="00DE02AA" w:rsidP="00DE02AA">
      <w:pPr>
        <w:numPr>
          <w:ilvl w:val="0"/>
          <w:numId w:val="1"/>
        </w:numPr>
        <w:jc w:val="center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r w:rsidRPr="00265BF0">
        <w:t xml:space="preserve">Основные направления бюджетной и налоговой политики сформированы в соответствии с </w:t>
      </w:r>
      <w:hyperlink r:id="rId9" w:tgtFrame="Logical" w:history="1">
        <w:r w:rsidR="00461818" w:rsidRPr="00265BF0">
          <w:rPr>
            <w:rStyle w:val="aa"/>
            <w:color w:val="auto"/>
          </w:rPr>
          <w:t>Бюджетным кодексом Российской Федерации</w:t>
        </w:r>
      </w:hyperlink>
      <w:r w:rsidR="00461818" w:rsidRPr="00265BF0">
        <w:t xml:space="preserve"> </w:t>
      </w:r>
      <w:r w:rsidRPr="00265BF0">
        <w:t xml:space="preserve">Федеральному Собранию "О бюджетной политике в 2014 - 2016 годах", </w:t>
      </w:r>
      <w:hyperlink r:id="rId10" w:tgtFrame="Logical" w:history="1">
        <w:r w:rsidR="00461818" w:rsidRPr="00265BF0">
          <w:rPr>
            <w:rStyle w:val="aa"/>
            <w:color w:val="auto"/>
          </w:rPr>
          <w:t>Бюджетным кодексом Российской Федерации</w:t>
        </w:r>
      </w:hyperlink>
      <w:r w:rsidRPr="00265BF0">
        <w:t xml:space="preserve">, </w:t>
      </w:r>
      <w:hyperlink r:id="rId11" w:tgtFrame="Logical" w:history="1">
        <w:r w:rsidR="00461818" w:rsidRPr="00265BF0">
          <w:rPr>
            <w:rStyle w:val="aa"/>
            <w:rFonts w:cs="Arial"/>
            <w:color w:val="auto"/>
          </w:rPr>
          <w:t>Налоговым кодексом Российской Федерации</w:t>
        </w:r>
      </w:hyperlink>
      <w:r w:rsidRPr="00265BF0">
        <w:t xml:space="preserve">, Указами Президента Российской Федерации </w:t>
      </w:r>
      <w:hyperlink r:id="rId12" w:history="1">
        <w:r w:rsidRPr="00265BF0">
          <w:rPr>
            <w:rStyle w:val="aa"/>
            <w:color w:val="auto"/>
          </w:rPr>
          <w:t>от 07.05.2012 N 596</w:t>
        </w:r>
      </w:hyperlink>
      <w:r w:rsidRPr="00265BF0">
        <w:t xml:space="preserve"> "О долгосрочной государственной экономической политике", N 597 "О мероприятиях по реализации государственной социальной политики", N 598 "О совершенствовании государственной политики в сфере здравоохранения", N 599 "О мерах по реализации государственной политики в области образования и науки", N 600 "О мерах по обеспечению граждан Российской Федерации доступным и комфортным жильем и повышению качества жилищно-коммунальных услуг", N 601 "Об основных направлениях совершенствования системы государственного управления", положением "О бюджетном процессе в Промышленновском муниципальном районе", Комплексной программой развития экономики и социальной сферы Промышленновского района.</w:t>
      </w:r>
    </w:p>
    <w:p w:rsidR="00DE02AA" w:rsidRPr="00265BF0" w:rsidRDefault="00DE02AA" w:rsidP="00DE02AA">
      <w:pPr>
        <w:jc w:val="center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65BF0">
        <w:rPr>
          <w:rFonts w:cs="Arial"/>
          <w:b/>
          <w:bCs/>
          <w:iCs/>
          <w:sz w:val="30"/>
          <w:szCs w:val="28"/>
        </w:rPr>
        <w:t>2. Основные направления бюджетной политики</w:t>
      </w:r>
    </w:p>
    <w:p w:rsidR="00DE02AA" w:rsidRPr="00265BF0" w:rsidRDefault="00DE02AA" w:rsidP="00DE02AA">
      <w:pPr>
        <w:jc w:val="center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r w:rsidRPr="00265BF0">
        <w:t>Бюджетная и налоговая политика на 2014 - 2016 годы района строится в рамках выполнения стратегических целей социально-экономического развития страны: улучшение качества жизни населения, создание условий для обеспечения позитивных структурных изменений в экономике и социальной сфере, решение проблем макроэкономической сбалансированности, повышение прозрачности управления общественными финансами.</w:t>
      </w:r>
    </w:p>
    <w:p w:rsidR="00C464FC" w:rsidRPr="00265BF0" w:rsidRDefault="00C464FC" w:rsidP="00DE02AA">
      <w:r w:rsidRPr="00265BF0">
        <w:t>При подготовке бюджета на 2014-2016 годы необходимо учитывать</w:t>
      </w:r>
      <w:r w:rsidR="00DE02AA" w:rsidRPr="00265BF0">
        <w:t xml:space="preserve"> </w:t>
      </w:r>
      <w:r w:rsidRPr="00265BF0">
        <w:t>ряд нерешенных проблем, характерных для всей бюджетной системы Российской Федерации:</w:t>
      </w:r>
    </w:p>
    <w:p w:rsidR="00C464FC" w:rsidRPr="00265BF0" w:rsidRDefault="00C464FC" w:rsidP="00DE02AA">
      <w:r w:rsidRPr="00265BF0">
        <w:t>- нестабильность в экономике ограничивает возможности для бюджетного маневра в целях существенного увеличения бюджетных расходов на социально-экономическое развитие, при этом принятые бюджетные обязательства не могут быть существенно сокращены вследствие социальной направленности значительной их части;</w:t>
      </w:r>
    </w:p>
    <w:p w:rsidR="00C464FC" w:rsidRPr="00265BF0" w:rsidRDefault="00C464FC" w:rsidP="00DE02AA">
      <w:r w:rsidRPr="00265BF0">
        <w:t>- структура бюджетных расходов не является оптимальной для стимулирования экономического развития;</w:t>
      </w:r>
    </w:p>
    <w:p w:rsidR="00C464FC" w:rsidRPr="00265BF0" w:rsidRDefault="00C464FC" w:rsidP="00DE02AA">
      <w:r w:rsidRPr="00265BF0">
        <w:t>- остается формальным и слабо увязанным с бюджетным процессом применение принципов бюджетирования, ориентированного на результат, зачастую эффективность осуществляемых бюджетных расходов низка, получаемый социально-экономический эффект несоразмерен объему израсходованных на те или иные цели средств;</w:t>
      </w:r>
    </w:p>
    <w:p w:rsidR="00C464FC" w:rsidRPr="00265BF0" w:rsidRDefault="00C464FC" w:rsidP="00DE02AA">
      <w:r w:rsidRPr="00265BF0">
        <w:t>- высока зависимость местных бюджетов от финансовой помощи, поступающей из бюджетов бюджетной системы Российской Федерации.</w:t>
      </w:r>
    </w:p>
    <w:p w:rsidR="00C464FC" w:rsidRPr="00265BF0" w:rsidRDefault="00C464FC" w:rsidP="00DE02AA">
      <w:r w:rsidRPr="00265BF0">
        <w:t>Бюджетная политика на 2014 - 2016 годы должна быть направлена на дальнейшую оптимизацию бюджетного процесса в Промышленновском районе и внедрение новых инструментов управления общественными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C464FC" w:rsidRPr="00265BF0" w:rsidRDefault="00C464FC" w:rsidP="00DE02AA">
      <w:r w:rsidRPr="00265BF0">
        <w:lastRenderedPageBreak/>
        <w:t>Выполнение поставленных целей возможно при реализации системных мероприятий по следующим направлениям бюджетной политики на 2014 - 2016 годы:</w:t>
      </w:r>
    </w:p>
    <w:p w:rsidR="00C464FC" w:rsidRPr="00265BF0" w:rsidRDefault="00C464FC" w:rsidP="00DE02AA">
      <w:r w:rsidRPr="00265BF0">
        <w:t>- определение "базовых" объемов бюджетных ассигнований на 2014 - 2016 годы на основе утвержденных решением о районном</w:t>
      </w:r>
      <w:r w:rsidR="00DE02AA" w:rsidRPr="00265BF0">
        <w:t xml:space="preserve"> </w:t>
      </w:r>
      <w:r w:rsidRPr="00265BF0">
        <w:t>бюджете</w:t>
      </w:r>
      <w:r w:rsidR="00DE02AA" w:rsidRPr="00265BF0">
        <w:t xml:space="preserve"> </w:t>
      </w:r>
      <w:r w:rsidRPr="00265BF0">
        <w:t>на 2014 и на плановый период 2015 - 2016 годов, на 2017 год - исходя из необходимости финансового обеспечения принятых расходных обязательств;</w:t>
      </w:r>
    </w:p>
    <w:p w:rsidR="00C464FC" w:rsidRPr="00265BF0" w:rsidRDefault="00C464FC" w:rsidP="00DE02AA">
      <w:r w:rsidRPr="00265BF0">
        <w:t>- использование для целей бюджетного планирования консервативного макроэкономического прогноза, индексация расходов бюджета, включая расходы на оплату услуг связи, транспортных услуг, коммунальных услуг муниципальных учреждений в 2014 году на 5,3%, в 2015 году - на 5,0%, в 2016 году - на 5,0%;</w:t>
      </w:r>
    </w:p>
    <w:p w:rsidR="00C464FC" w:rsidRPr="00265BF0" w:rsidRDefault="00C464FC" w:rsidP="00DE02AA">
      <w:r w:rsidRPr="00265BF0">
        <w:t>- обеспечение мероприятий в связи с возможным ухудшением экономической конъюнктуры по блокировке расходов на уровне 5% от общего объема бюджетных ассигнований (за исключением расходов на исполнение публичных нормативных обязательств, оплату труда работников муниципальных учреждений, обслуживание муниципального долга, уплату налогов);</w:t>
      </w:r>
    </w:p>
    <w:p w:rsidR="00C464FC" w:rsidRPr="00265BF0" w:rsidRDefault="00C464FC" w:rsidP="00DE02AA">
      <w:r w:rsidRPr="00265BF0">
        <w:t xml:space="preserve">- обеспечение выполнения первоочередных задач, поставленных в Указах Президента Российской Федерации от 07.05.2012; </w:t>
      </w:r>
    </w:p>
    <w:p w:rsidR="00C464FC" w:rsidRPr="00265BF0" w:rsidRDefault="00C464FC" w:rsidP="00DE02AA">
      <w:r w:rsidRPr="00265BF0">
        <w:t xml:space="preserve"> - уменьшение стоимости заимствований и расходов на обслуживание долговых обязательств;</w:t>
      </w:r>
    </w:p>
    <w:p w:rsidR="00C464FC" w:rsidRPr="00265BF0" w:rsidRDefault="00C464FC" w:rsidP="00DE02AA">
      <w:r w:rsidRPr="00265BF0">
        <w:t>- совершенствование ведения реестра расходных обязательств, в том числе в части методов расчета объема бюджетных ассигнований;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переход к программной структуре расходов бюджетов, который предполагает формирование бюджетов на основе программно-целевых принципов. Начиная с 2015 года,</w:t>
      </w:r>
      <w:r w:rsidR="00DE02AA" w:rsidRPr="00265BF0">
        <w:t xml:space="preserve"> </w:t>
      </w:r>
      <w:r w:rsidRPr="00265BF0">
        <w:t>муниципальными и ведомственными целевыми программами будет охвачено 100 процентов всех бюджетных ассигнований районного</w:t>
      </w:r>
      <w:r w:rsidR="00DE02AA" w:rsidRPr="00265BF0">
        <w:t xml:space="preserve"> </w:t>
      </w:r>
      <w:r w:rsidRPr="00265BF0">
        <w:t>бюджета;</w:t>
      </w:r>
    </w:p>
    <w:p w:rsidR="00C464FC" w:rsidRPr="00265BF0" w:rsidRDefault="00C464FC" w:rsidP="00DE02AA">
      <w:r w:rsidRPr="00265BF0">
        <w:t xml:space="preserve">- безусловное выполнение действующих обязательств,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 Отказ от принятия новых обязательств, не обеспеченных источниками финансирования; </w:t>
      </w:r>
    </w:p>
    <w:p w:rsidR="00C464FC" w:rsidRPr="00265BF0" w:rsidRDefault="00C464FC" w:rsidP="00DE02AA">
      <w:r w:rsidRPr="00265BF0">
        <w:t>- развитие новых форм оказания и финансового обеспечения муниципальных услуг (реструктуризация бюджетного сектора), в том числе выявление неэффективных муниципальных учреждений с целью последующего изменения их типа. Совершенствование качества формирования муниципальных заданий для муниципальных учреждений и их финансового обеспечения, определение параметров и нормативной стоимости муниципальных услуг.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всего, социально ориентированных некоммерческих организаций;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исполнение делегированных государственных полномочий в пределах предоставляемых районному бюджету</w:t>
      </w:r>
      <w:r w:rsidR="00DE02AA" w:rsidRPr="00265BF0">
        <w:t xml:space="preserve"> </w:t>
      </w:r>
      <w:r w:rsidRPr="00265BF0">
        <w:t>субвенций из областного бюджета;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обеспечение контроля за целевым использованием бюджетных средств, за расходованием средств в пределах утвержденных лимитов бюджетных обязательств; Мероприятия в развитии системы муниципального контроля должны быть направлены на</w:t>
      </w:r>
    </w:p>
    <w:p w:rsidR="00C464FC" w:rsidRPr="00265BF0" w:rsidRDefault="00C464FC" w:rsidP="00DE02AA">
      <w:r w:rsidRPr="00265BF0">
        <w:t>организацию действенного контроля (аудита) за целевым и эффективным использованием бюджетных средств на базе установленных критериев эффективности и результативности использования бюджетных ассигнований;</w:t>
      </w:r>
    </w:p>
    <w:p w:rsidR="00C464FC" w:rsidRPr="00265BF0" w:rsidRDefault="00C464FC" w:rsidP="00DE02AA">
      <w:r w:rsidRPr="00265BF0">
        <w:t>- дальнейшее расширение самостоятельности и ответственности главных распорядителей бюджетных средств;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 xml:space="preserve">дальнейшая оптимизация расходов на содержание органов местного самоуправления и повышение эффективности их деятельности. Основные меры по </w:t>
      </w:r>
      <w:r w:rsidRPr="00265BF0">
        <w:lastRenderedPageBreak/>
        <w:t>повышению эффективности деятельности органов местного самоуправления должны быть направлены на противодействие коррупции, снижение административных барьеров, оптимизацию численности муниципальных служащих; формирование открытости деятельности органов местного самоуправления, в том числе перехода на оказание услуг по осуществлению ими юридически значимых действий в электронной форме;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повышение энергоэффективности экономики, в том числе в бюджетном секторе.</w:t>
      </w:r>
      <w:r w:rsidR="00DE02AA" w:rsidRPr="00265BF0">
        <w:t xml:space="preserve"> </w:t>
      </w:r>
      <w:r w:rsidRPr="00265BF0">
        <w:t>Для этих целей предлагается дальнейшая реализация мероприятий, предусмотренных</w:t>
      </w:r>
      <w:r w:rsidR="00DE02AA" w:rsidRPr="00265BF0">
        <w:t xml:space="preserve"> </w:t>
      </w:r>
      <w:r w:rsidRPr="00265BF0">
        <w:t>муниципальной программой « Энергосбережение</w:t>
      </w:r>
      <w:r w:rsidR="00DE02AA" w:rsidRPr="00265BF0">
        <w:t xml:space="preserve"> </w:t>
      </w:r>
      <w:r w:rsidRPr="00265BF0">
        <w:t>и</w:t>
      </w:r>
      <w:r w:rsidR="00DE02AA" w:rsidRPr="00265BF0">
        <w:t xml:space="preserve"> </w:t>
      </w:r>
      <w:r w:rsidRPr="00265BF0">
        <w:t>повышение энергетической эффективности на территории Промышленновского района</w:t>
      </w:r>
      <w:r w:rsidR="00DE02AA" w:rsidRPr="00265BF0">
        <w:t xml:space="preserve"> </w:t>
      </w:r>
      <w:r w:rsidRPr="00265BF0">
        <w:t>на перспективу до 2020 года». Внедрение мероприятий по повышению энергетической эффективности, в том числе: обеспечение закупки наиболее энергоэффективных товаров для муниципальных нужд; дальнейшее обеспечение муниципальными учреждениями снижения в сопоставимых условиях объема потребленных ими воды, дизельного и иного топлива,</w:t>
      </w:r>
      <w:r w:rsidR="00DE02AA" w:rsidRPr="00265BF0">
        <w:t xml:space="preserve"> </w:t>
      </w:r>
      <w:r w:rsidRPr="00265BF0">
        <w:t>тепловой энергии, электрической энергии, угля до 2020 года</w:t>
      </w:r>
      <w:r w:rsidR="00DE02AA" w:rsidRPr="00265BF0">
        <w:t xml:space="preserve"> </w:t>
      </w:r>
      <w:r w:rsidRPr="00265BF0">
        <w:t>ежегодно</w:t>
      </w:r>
      <w:r w:rsidR="00DE02AA" w:rsidRPr="00265BF0">
        <w:t xml:space="preserve"> </w:t>
      </w:r>
      <w:r w:rsidRPr="00265BF0">
        <w:t>не менее чем на 3%; осуществление мероприятий в области повышения энергоэффективности, определенных по результатам проведения энергетических обследований;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реализация мероприятий по сокращению бюджетных расходов на исполнение отдельных расходных обязательств, в том числе оптимизация предоставления субсидий на компенсацию выпадающих доходов производителям товаров, работ, услуг;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 xml:space="preserve">недопущение роста и образования несанкционированной кредиторской задолженности муниципальных учреждений и организаций, получающих субсидии из районного бюджета; 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обеспечение безусловного выполнения социальных обязательств (включая публичные нормативные обязательства, выплату заработной платы работникам бюджетной сферы и т.д.), сохранение для социальных выплат принципа индексации по уровню инфляции в отчетном (текущем) году;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обеспечение своевременного и в полном объеме финансирования расходов, связанных с оплатой труда работников бюджетной сферы, муниципальных служащих.</w:t>
      </w:r>
      <w:r w:rsidR="00DE02AA" w:rsidRPr="00265BF0">
        <w:t xml:space="preserve"> </w:t>
      </w:r>
      <w:r w:rsidRPr="00265BF0">
        <w:t>Мероприятия по совершенствованию систем оплаты труда в бюджетном секторе должны обеспечить</w:t>
      </w:r>
      <w:r w:rsidR="00DE02AA" w:rsidRPr="00265BF0">
        <w:t xml:space="preserve"> </w:t>
      </w:r>
      <w:r w:rsidRPr="00265BF0">
        <w:t>усиление роли выплат стимулирующего характера, как на уровне учреждений, так и на уровне конкретных работников.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 xml:space="preserve">осуществление мер поддержки малого и среднего предпринимательства; 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совершенствование механизма закупок путем формирования планов-графиков закупок и графиков заключения контрактов, обеспечение открытости информации об исполнении контрактов и плана-графика закупок, а также создание технологии взаимосвязи бюджетного процесса и процедур планирования закупок товаров работ и услуг между собой. Повышение ответственности муниципальных заказчиков за несоблюдение установленных сроков планирования и подготовки муниципальных контрактов;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обеспечение прозрачности и открытости бюджетного процесса, в том числе:</w:t>
      </w:r>
    </w:p>
    <w:p w:rsidR="00C464FC" w:rsidRPr="00265BF0" w:rsidRDefault="00C464FC" w:rsidP="00DE02AA">
      <w:r w:rsidRPr="00265BF0">
        <w:t>участие в развитии единой информационной системы управления общественными финансами "Электронный бюджет". Повышение объема и регулярности обновления общедоступной информации о муниципальных финансах, обеспечение публичности информации о плановых и фактических результатах деятельности организаций муниципального сектора, создание условий для осуществления общественного контроля принятий решений в сфере муниципальных финансов.</w:t>
      </w:r>
    </w:p>
    <w:p w:rsidR="00DE02AA" w:rsidRPr="00265BF0" w:rsidRDefault="00DE02AA" w:rsidP="00DE02AA">
      <w:pPr>
        <w:jc w:val="center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cs="Arial"/>
          <w:b/>
          <w:bCs/>
          <w:iCs/>
          <w:sz w:val="30"/>
          <w:szCs w:val="28"/>
        </w:rPr>
      </w:pPr>
      <w:r w:rsidRPr="00265BF0">
        <w:rPr>
          <w:rFonts w:cs="Arial"/>
          <w:b/>
          <w:bCs/>
          <w:iCs/>
          <w:sz w:val="30"/>
          <w:szCs w:val="28"/>
        </w:rPr>
        <w:t>Основные направления налоговой политики</w:t>
      </w:r>
    </w:p>
    <w:p w:rsidR="00DE02AA" w:rsidRPr="00265BF0" w:rsidRDefault="00DE02AA" w:rsidP="00DE02AA">
      <w:pPr>
        <w:ind w:left="360" w:firstLine="0"/>
        <w:rPr>
          <w:rFonts w:cs="Arial"/>
          <w:b/>
          <w:bCs/>
          <w:iCs/>
          <w:sz w:val="30"/>
          <w:szCs w:val="28"/>
        </w:rPr>
      </w:pPr>
    </w:p>
    <w:p w:rsidR="00C464FC" w:rsidRPr="00265BF0" w:rsidRDefault="00C464FC" w:rsidP="00DE02AA">
      <w:r w:rsidRPr="00265BF0">
        <w:t>Основные направления налоговой политики муниципального района на 2014 год и на плановый период 2015 и 2016 годов определяются налоговым законодательством Российской Федерации 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</w:t>
      </w:r>
      <w:r w:rsidR="00DE02AA" w:rsidRPr="00265BF0">
        <w:t xml:space="preserve"> </w:t>
      </w:r>
      <w:r w:rsidRPr="00265BF0">
        <w:t>Основными целями налоговой политики продолжают оставаться поддержка инвестиций, развитие человеческого капитала, повышение предпринимательской активности. Важнейшим фактором проводимой налоговой политики является необходимость поддержания сбалансированности бюджетной системы. В то же время необходимо сохранить неизменность налоговой нагрузки по секторам экономики, в которых достигнут ее оптимальный уровень.</w:t>
      </w:r>
    </w:p>
    <w:p w:rsidR="00C464FC" w:rsidRPr="00265BF0" w:rsidRDefault="00C464FC" w:rsidP="00DE02AA">
      <w:r w:rsidRPr="00265BF0">
        <w:t>С целью осуществления поставленной задачи выполняются мероприятия по следующим направлениям: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совершенствование специальных налоговых режимов для малого предпринимательства.</w:t>
      </w:r>
    </w:p>
    <w:p w:rsidR="00C464FC" w:rsidRPr="00265BF0" w:rsidRDefault="00C464FC" w:rsidP="00DE02AA">
      <w:r w:rsidRPr="00265BF0">
        <w:t xml:space="preserve">Федеральным законом Российской Федерации </w:t>
      </w:r>
      <w:hyperlink r:id="rId13" w:tgtFrame="Logical" w:history="1">
        <w:r w:rsidR="00461818" w:rsidRPr="00265BF0">
          <w:rPr>
            <w:rStyle w:val="aa"/>
            <w:rFonts w:cs="Arial"/>
            <w:color w:val="auto"/>
          </w:rPr>
          <w:t>от 21.07.2005 N 94-ФЗ</w:t>
        </w:r>
      </w:hyperlink>
      <w:r w:rsidR="00461818" w:rsidRPr="00265BF0">
        <w:rPr>
          <w:rFonts w:cs="Arial"/>
        </w:rPr>
        <w:t xml:space="preserve"> </w:t>
      </w:r>
      <w:r w:rsidRPr="00265BF0">
        <w:t xml:space="preserve">"О внесении изменений в части первую и вторую </w:t>
      </w:r>
      <w:hyperlink r:id="rId14" w:tgtFrame="Logical" w:history="1">
        <w:r w:rsidR="00461818" w:rsidRPr="00265BF0">
          <w:rPr>
            <w:rStyle w:val="aa"/>
            <w:rFonts w:cs="Arial"/>
            <w:color w:val="auto"/>
          </w:rPr>
          <w:t>Налогового кодекса Российской Федерации</w:t>
        </w:r>
      </w:hyperlink>
      <w:r w:rsidR="00461818" w:rsidRPr="00265BF0">
        <w:rPr>
          <w:rFonts w:cs="Arial"/>
        </w:rPr>
        <w:t xml:space="preserve"> </w:t>
      </w:r>
      <w:r w:rsidRPr="00265BF0">
        <w:t xml:space="preserve">и отдельные законодательные акты Российской Федерации" патентная система налогообложения выделена в самостоятельный специальный налоговый режим. Увеличена сфера применения патентной системы налогообложения. В </w:t>
      </w:r>
      <w:hyperlink r:id="rId15" w:tgtFrame="Logical" w:history="1">
        <w:r w:rsidR="00461818" w:rsidRPr="00265BF0">
          <w:rPr>
            <w:rStyle w:val="aa"/>
            <w:color w:val="auto"/>
          </w:rPr>
          <w:t>Бюджетном кодексе Российской Федерации</w:t>
        </w:r>
      </w:hyperlink>
      <w:r w:rsidR="00461818" w:rsidRPr="00265BF0">
        <w:t xml:space="preserve"> </w:t>
      </w:r>
      <w:r w:rsidRPr="00265BF0">
        <w:t>на постоянной основе закреплено</w:t>
      </w:r>
      <w:r w:rsidR="00DE02AA" w:rsidRPr="00265BF0">
        <w:t xml:space="preserve"> </w:t>
      </w:r>
      <w:r w:rsidRPr="00265BF0">
        <w:t>зачисление в районные бюджеты</w:t>
      </w:r>
      <w:r w:rsidR="00DE02AA" w:rsidRPr="00265BF0">
        <w:t xml:space="preserve"> </w:t>
      </w:r>
      <w:r w:rsidRPr="00265BF0">
        <w:t>налога, взимаемого в связи с применением патентной системы налогообложения, по нормативу 100 процентов.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сокращение неэффективных налоговых льгот .</w:t>
      </w:r>
      <w:r w:rsidR="00DE02AA" w:rsidRPr="00265BF0">
        <w:t xml:space="preserve"> </w:t>
      </w:r>
      <w:r w:rsidRPr="00265BF0">
        <w:t xml:space="preserve">Предоставление налоговых льгот исключительно по социально значимым направлениям. 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введение налога на недвижимость. Предлагается на первом этапе в качестве налогоплательщиков налога на недвижимое имущество признать физических лиц, обладающих правом собственности на здания, строения, сооружения, жилые и нежилые помещения, а также обладающие правом собственности, правом постоянного (бессрочного) пользования или правом пожизненного наследуемого владения на земельный участок.</w:t>
      </w:r>
    </w:p>
    <w:p w:rsidR="00C464FC" w:rsidRPr="00265BF0" w:rsidRDefault="00C464FC" w:rsidP="00DE02AA">
      <w:r w:rsidRPr="00265BF0">
        <w:t>В качестве налоговой базы для исчисления налога на недвижимое имущество устанавливается кадастровая стоимость соответствующего объекта налогообложения.</w:t>
      </w:r>
    </w:p>
    <w:p w:rsidR="00C464FC" w:rsidRPr="00265BF0" w:rsidRDefault="00C464FC" w:rsidP="00DE02AA">
      <w:r w:rsidRPr="00265BF0">
        <w:t>При определении налоговой базы для исчисления налога физическим лицам планируется предусмотреть стандартные и социальные налоговые вычеты.</w:t>
      </w:r>
    </w:p>
    <w:p w:rsidR="00C464FC" w:rsidRPr="00265BF0" w:rsidRDefault="00C464FC" w:rsidP="00DE02AA">
      <w:r w:rsidRPr="00265BF0">
        <w:t xml:space="preserve"> В части укрепления и развития собственной доходной базы районного бюджета необходимо:</w:t>
      </w:r>
    </w:p>
    <w:p w:rsidR="00C464FC" w:rsidRPr="00265BF0" w:rsidRDefault="00C464FC" w:rsidP="00DE02AA">
      <w:r w:rsidRPr="00265BF0">
        <w:t>- обеспечить рост налогооблагаемой базы по земельному налогу и налогу на имущество физических лиц (с 2015 года налога на недвижимость) за счет выявления и постановки на налоговый учет неучтенных объектов налогообложения (строения, земельные участки);</w:t>
      </w:r>
    </w:p>
    <w:p w:rsidR="00C464FC" w:rsidRPr="00265BF0" w:rsidRDefault="00C464FC" w:rsidP="00DE02AA">
      <w:r w:rsidRPr="00265BF0">
        <w:t>- продолжить работу по выявлению лиц, осуществляющих предпринимательскую деятельность без регистрации, постановку их на учет в налоговых органах и привлечение к уплате налогов;</w:t>
      </w:r>
    </w:p>
    <w:p w:rsidR="00C464FC" w:rsidRPr="00265BF0" w:rsidRDefault="00C464FC" w:rsidP="00DE02AA">
      <w:r w:rsidRPr="00265BF0">
        <w:t>- организовать работу с индивидуальными предпринимателями, осуществляющими предпринимательскую деятельность, по привлечению их к применению патентной системы налогообложения;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принять меры по повышению</w:t>
      </w:r>
      <w:r w:rsidR="00DE02AA" w:rsidRPr="00265BF0">
        <w:t xml:space="preserve"> </w:t>
      </w:r>
      <w:r w:rsidRPr="00265BF0">
        <w:t>эффективности использования муниципальной собственности;</w:t>
      </w:r>
    </w:p>
    <w:p w:rsidR="00C464FC" w:rsidRPr="00265BF0" w:rsidRDefault="00C464FC" w:rsidP="00DE02AA">
      <w:r w:rsidRPr="00265BF0">
        <w:t xml:space="preserve"> -</w:t>
      </w:r>
      <w:r w:rsidR="00DE02AA" w:rsidRPr="00265BF0">
        <w:t xml:space="preserve"> </w:t>
      </w:r>
      <w:r w:rsidRPr="00265BF0">
        <w:t>проводить работу с целью осуществления контроля уплаты:</w:t>
      </w:r>
    </w:p>
    <w:p w:rsidR="00C464FC" w:rsidRPr="00265BF0" w:rsidRDefault="00C464FC" w:rsidP="00DE02AA">
      <w:r w:rsidRPr="00265BF0">
        <w:lastRenderedPageBreak/>
        <w:t xml:space="preserve"> налога на доходы физических лиц налоговыми агентами, имеющими обособленные подразделения на территории Промышленновского района в соответствии с требованиями </w:t>
      </w:r>
      <w:hyperlink r:id="rId16" w:tgtFrame="Logical" w:history="1">
        <w:r w:rsidR="00461818" w:rsidRPr="00265BF0">
          <w:rPr>
            <w:rStyle w:val="aa"/>
            <w:rFonts w:cs="Arial"/>
            <w:color w:val="auto"/>
          </w:rPr>
          <w:t>Налогового кодекса Российской Федерации</w:t>
        </w:r>
      </w:hyperlink>
      <w:r w:rsidRPr="00265BF0">
        <w:t>;</w:t>
      </w:r>
    </w:p>
    <w:p w:rsidR="00C464FC" w:rsidRPr="00265BF0" w:rsidRDefault="00C464FC" w:rsidP="00DE02AA">
      <w:r w:rsidRPr="00265BF0">
        <w:t xml:space="preserve"> административных штрафов, подлежащих взысканию по решениям контролирующих органов, находящихся на территории Промышленновского района;</w:t>
      </w:r>
    </w:p>
    <w:p w:rsidR="00C464FC" w:rsidRPr="00265BF0" w:rsidRDefault="00C464FC" w:rsidP="00DE02AA">
      <w:r w:rsidRPr="00265BF0">
        <w:t xml:space="preserve"> -</w:t>
      </w:r>
      <w:r w:rsidR="00DE02AA" w:rsidRPr="00265BF0">
        <w:t xml:space="preserve"> </w:t>
      </w:r>
      <w:r w:rsidRPr="00265BF0">
        <w:t>продолжить работу по легализации заработной платы, с целью повышения фонда оплаты труда и обеспечению социальной защищенности работников, а также по контролю уровня заработной платы.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>организовать работу главных администраторов (администраторов) поступлений в районный бюджет по своевременному принятию решений об уточнении платежей с целью исключения невыясненных поступлений.</w:t>
      </w:r>
    </w:p>
    <w:p w:rsidR="00C464FC" w:rsidRPr="00265BF0" w:rsidRDefault="00C464FC" w:rsidP="00DE02AA">
      <w:r w:rsidRPr="00265BF0">
        <w:t>-</w:t>
      </w:r>
      <w:r w:rsidR="00DE02AA" w:rsidRPr="00265BF0">
        <w:t xml:space="preserve"> </w:t>
      </w:r>
      <w:r w:rsidRPr="00265BF0">
        <w:t xml:space="preserve">привлечение безвозмездных перечислений в бюджет города от организаций, предпринимателей города в соответствии с Федеральным законом Российской Федерации </w:t>
      </w:r>
      <w:hyperlink r:id="rId17" w:history="1">
        <w:r w:rsidRPr="00265BF0">
          <w:rPr>
            <w:rStyle w:val="aa"/>
            <w:color w:val="auto"/>
          </w:rPr>
          <w:t>от 11.08.1995 N 135-ФЗ</w:t>
        </w:r>
      </w:hyperlink>
      <w:r w:rsidRPr="00265BF0">
        <w:t xml:space="preserve"> "О благотворительной деятельности и благотворительных организациях".</w:t>
      </w:r>
    </w:p>
    <w:p w:rsidR="00C464FC" w:rsidRPr="00265BF0" w:rsidRDefault="00C464FC" w:rsidP="00DE02AA">
      <w:r w:rsidRPr="00265BF0">
        <w:t>4. Совершенствование межбюджетных отношений.</w:t>
      </w:r>
    </w:p>
    <w:p w:rsidR="00C464FC" w:rsidRPr="00265BF0" w:rsidRDefault="00C464FC" w:rsidP="00DE02AA">
      <w:r w:rsidRPr="00265BF0"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городского и сельских поселений, что позволит им</w:t>
      </w:r>
      <w:r w:rsidR="00DE02AA" w:rsidRPr="00265BF0">
        <w:t xml:space="preserve"> </w:t>
      </w:r>
      <w:r w:rsidRPr="00265BF0">
        <w:t>эффективно и качественно выполнять свои обязательства перед населением.</w:t>
      </w:r>
    </w:p>
    <w:p w:rsidR="00C464FC" w:rsidRPr="00265BF0" w:rsidRDefault="00C464FC" w:rsidP="00DE02AA">
      <w:r w:rsidRPr="00265BF0">
        <w:t xml:space="preserve">Оказание финансовой помощи из муниципального бюджета бюджетам поселений будет производиться в виде межбюджетных трансфертов в соответствии с формами финансовой поддержки, предусмотренными в </w:t>
      </w:r>
      <w:hyperlink r:id="rId18" w:tgtFrame="Logical" w:history="1">
        <w:r w:rsidR="00461818" w:rsidRPr="00265BF0">
          <w:rPr>
            <w:rStyle w:val="aa"/>
            <w:color w:val="auto"/>
          </w:rPr>
          <w:t>Бюджетном кодексе Российской Федерации</w:t>
        </w:r>
      </w:hyperlink>
      <w:r w:rsidRPr="00265BF0">
        <w:t xml:space="preserve">, областном законе «О межбюджетных отношениях в Кемеровской области». Выравнивание уровня обеспеченности производится посредством создания на муниципальном уровне фонда финансовой поддержки поселений, средства распределяются с учетом модели распределения, с учетом расходных обязательств, при этом учитываются у поселений и доходная часть. </w:t>
      </w:r>
    </w:p>
    <w:sectPr w:rsidR="00C464FC" w:rsidRPr="00265BF0" w:rsidSect="00DE02AA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2C" w:rsidRDefault="001E222C">
      <w:r>
        <w:separator/>
      </w:r>
    </w:p>
  </w:endnote>
  <w:endnote w:type="continuationSeparator" w:id="0">
    <w:p w:rsidR="001E222C" w:rsidRDefault="001E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EF" w:rsidRDefault="00B96CEF" w:rsidP="00770B1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9D3">
      <w:rPr>
        <w:rStyle w:val="a8"/>
        <w:noProof/>
      </w:rPr>
      <w:t>6</w:t>
    </w:r>
    <w:r>
      <w:rPr>
        <w:rStyle w:val="a8"/>
      </w:rPr>
      <w:fldChar w:fldCharType="end"/>
    </w:r>
  </w:p>
  <w:p w:rsidR="00B96CEF" w:rsidRDefault="00B96CEF" w:rsidP="00DC62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2C" w:rsidRDefault="001E222C">
      <w:r>
        <w:separator/>
      </w:r>
    </w:p>
  </w:footnote>
  <w:footnote w:type="continuationSeparator" w:id="0">
    <w:p w:rsidR="001E222C" w:rsidRDefault="001E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9B1"/>
    <w:multiLevelType w:val="hybridMultilevel"/>
    <w:tmpl w:val="77F6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02AA"/>
    <w:rsid w:val="00011C61"/>
    <w:rsid w:val="00024DA8"/>
    <w:rsid w:val="00044075"/>
    <w:rsid w:val="00053088"/>
    <w:rsid w:val="000660FC"/>
    <w:rsid w:val="0009194E"/>
    <w:rsid w:val="00092C0E"/>
    <w:rsid w:val="00096AFB"/>
    <w:rsid w:val="000A0918"/>
    <w:rsid w:val="000C195C"/>
    <w:rsid w:val="000D2477"/>
    <w:rsid w:val="000E5CC0"/>
    <w:rsid w:val="000E6303"/>
    <w:rsid w:val="000E79FC"/>
    <w:rsid w:val="001074B8"/>
    <w:rsid w:val="00115A36"/>
    <w:rsid w:val="001275BB"/>
    <w:rsid w:val="00165714"/>
    <w:rsid w:val="00166B71"/>
    <w:rsid w:val="00182F68"/>
    <w:rsid w:val="0018699D"/>
    <w:rsid w:val="001A2D57"/>
    <w:rsid w:val="001A779E"/>
    <w:rsid w:val="001D203D"/>
    <w:rsid w:val="001D2387"/>
    <w:rsid w:val="001E0C79"/>
    <w:rsid w:val="001E222C"/>
    <w:rsid w:val="001F25EE"/>
    <w:rsid w:val="00200AAF"/>
    <w:rsid w:val="00203726"/>
    <w:rsid w:val="002147F4"/>
    <w:rsid w:val="00216896"/>
    <w:rsid w:val="00265BF0"/>
    <w:rsid w:val="00272DD8"/>
    <w:rsid w:val="002977CA"/>
    <w:rsid w:val="002A5B66"/>
    <w:rsid w:val="002B08E7"/>
    <w:rsid w:val="002B1B1A"/>
    <w:rsid w:val="002C5370"/>
    <w:rsid w:val="002E4970"/>
    <w:rsid w:val="00306391"/>
    <w:rsid w:val="003134CC"/>
    <w:rsid w:val="00321C31"/>
    <w:rsid w:val="003313D0"/>
    <w:rsid w:val="00374426"/>
    <w:rsid w:val="00383886"/>
    <w:rsid w:val="00386386"/>
    <w:rsid w:val="003C69D0"/>
    <w:rsid w:val="003D3566"/>
    <w:rsid w:val="003F391C"/>
    <w:rsid w:val="00426243"/>
    <w:rsid w:val="0046174F"/>
    <w:rsid w:val="00461818"/>
    <w:rsid w:val="0048524A"/>
    <w:rsid w:val="004B0751"/>
    <w:rsid w:val="004C3E90"/>
    <w:rsid w:val="004E059C"/>
    <w:rsid w:val="004E1D16"/>
    <w:rsid w:val="004E2501"/>
    <w:rsid w:val="00517D1A"/>
    <w:rsid w:val="005209D8"/>
    <w:rsid w:val="00522779"/>
    <w:rsid w:val="00526784"/>
    <w:rsid w:val="00536501"/>
    <w:rsid w:val="00542103"/>
    <w:rsid w:val="00551884"/>
    <w:rsid w:val="005705E6"/>
    <w:rsid w:val="005B27FE"/>
    <w:rsid w:val="005B496D"/>
    <w:rsid w:val="005D6150"/>
    <w:rsid w:val="006016F0"/>
    <w:rsid w:val="0061296A"/>
    <w:rsid w:val="006473BB"/>
    <w:rsid w:val="006C1A59"/>
    <w:rsid w:val="006D1DA1"/>
    <w:rsid w:val="006E408C"/>
    <w:rsid w:val="006E473F"/>
    <w:rsid w:val="00702DBA"/>
    <w:rsid w:val="00703B7E"/>
    <w:rsid w:val="00726E51"/>
    <w:rsid w:val="00731C51"/>
    <w:rsid w:val="00741C07"/>
    <w:rsid w:val="00757335"/>
    <w:rsid w:val="00770B18"/>
    <w:rsid w:val="00770E50"/>
    <w:rsid w:val="00780D94"/>
    <w:rsid w:val="007A3EE9"/>
    <w:rsid w:val="007D46EF"/>
    <w:rsid w:val="007E534B"/>
    <w:rsid w:val="007F06B6"/>
    <w:rsid w:val="00830B5D"/>
    <w:rsid w:val="00844B11"/>
    <w:rsid w:val="008973BD"/>
    <w:rsid w:val="008A3492"/>
    <w:rsid w:val="008A7908"/>
    <w:rsid w:val="008B2709"/>
    <w:rsid w:val="008D2417"/>
    <w:rsid w:val="008D77DA"/>
    <w:rsid w:val="008F0B02"/>
    <w:rsid w:val="0091241C"/>
    <w:rsid w:val="009240AB"/>
    <w:rsid w:val="00930A8F"/>
    <w:rsid w:val="009857CC"/>
    <w:rsid w:val="009B3A2B"/>
    <w:rsid w:val="009C73E7"/>
    <w:rsid w:val="009D519E"/>
    <w:rsid w:val="009D6960"/>
    <w:rsid w:val="009F004E"/>
    <w:rsid w:val="009F20A8"/>
    <w:rsid w:val="009F3999"/>
    <w:rsid w:val="009F77A7"/>
    <w:rsid w:val="00A016D2"/>
    <w:rsid w:val="00A077D5"/>
    <w:rsid w:val="00A2226D"/>
    <w:rsid w:val="00A57B77"/>
    <w:rsid w:val="00A82F87"/>
    <w:rsid w:val="00A83529"/>
    <w:rsid w:val="00A84F41"/>
    <w:rsid w:val="00A9568D"/>
    <w:rsid w:val="00AA7CFD"/>
    <w:rsid w:val="00B05F7D"/>
    <w:rsid w:val="00B1477A"/>
    <w:rsid w:val="00B153FA"/>
    <w:rsid w:val="00B4080E"/>
    <w:rsid w:val="00B43970"/>
    <w:rsid w:val="00B50DAE"/>
    <w:rsid w:val="00B6097F"/>
    <w:rsid w:val="00B711CF"/>
    <w:rsid w:val="00B8154E"/>
    <w:rsid w:val="00B84E11"/>
    <w:rsid w:val="00B91CF7"/>
    <w:rsid w:val="00B92B15"/>
    <w:rsid w:val="00B96CEF"/>
    <w:rsid w:val="00BA25B4"/>
    <w:rsid w:val="00BA7552"/>
    <w:rsid w:val="00BB6EF5"/>
    <w:rsid w:val="00BD6832"/>
    <w:rsid w:val="00BF3F25"/>
    <w:rsid w:val="00BF5CD5"/>
    <w:rsid w:val="00C00FB6"/>
    <w:rsid w:val="00C13A7B"/>
    <w:rsid w:val="00C22F1F"/>
    <w:rsid w:val="00C36BA2"/>
    <w:rsid w:val="00C44F59"/>
    <w:rsid w:val="00C464FC"/>
    <w:rsid w:val="00C569F8"/>
    <w:rsid w:val="00C63663"/>
    <w:rsid w:val="00C668B2"/>
    <w:rsid w:val="00C84E80"/>
    <w:rsid w:val="00C97C8B"/>
    <w:rsid w:val="00CD36F2"/>
    <w:rsid w:val="00CE6B3B"/>
    <w:rsid w:val="00CF05B0"/>
    <w:rsid w:val="00CF2BAA"/>
    <w:rsid w:val="00D017EA"/>
    <w:rsid w:val="00D07BB7"/>
    <w:rsid w:val="00D1283C"/>
    <w:rsid w:val="00D14E87"/>
    <w:rsid w:val="00D97EF2"/>
    <w:rsid w:val="00DB1A08"/>
    <w:rsid w:val="00DB2436"/>
    <w:rsid w:val="00DC62FB"/>
    <w:rsid w:val="00DC6F68"/>
    <w:rsid w:val="00DD7054"/>
    <w:rsid w:val="00DE02AA"/>
    <w:rsid w:val="00E302AA"/>
    <w:rsid w:val="00E53B9C"/>
    <w:rsid w:val="00E639D3"/>
    <w:rsid w:val="00E82A52"/>
    <w:rsid w:val="00E916A7"/>
    <w:rsid w:val="00E919F0"/>
    <w:rsid w:val="00EA2253"/>
    <w:rsid w:val="00ED3FB9"/>
    <w:rsid w:val="00EE61FD"/>
    <w:rsid w:val="00F30E68"/>
    <w:rsid w:val="00F31C6E"/>
    <w:rsid w:val="00F45926"/>
    <w:rsid w:val="00F50991"/>
    <w:rsid w:val="00F62717"/>
    <w:rsid w:val="00F66E15"/>
    <w:rsid w:val="00F7008F"/>
    <w:rsid w:val="00F7239E"/>
    <w:rsid w:val="00FB401F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639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639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639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639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639D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639D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639D3"/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D1283C"/>
    <w:rPr>
      <w:rFonts w:ascii="Tahoma" w:hAnsi="Tahoma" w:cs="Tahoma"/>
      <w:sz w:val="16"/>
      <w:szCs w:val="16"/>
    </w:rPr>
  </w:style>
  <w:style w:type="table" w:styleId="a6">
    <w:name w:val="Table Theme"/>
    <w:basedOn w:val="a1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6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62FB"/>
  </w:style>
  <w:style w:type="paragraph" w:customStyle="1" w:styleId="6">
    <w:name w:val="заголовок 6"/>
    <w:basedOn w:val="a"/>
    <w:next w:val="a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rsid w:val="00C97C8B"/>
    <w:pPr>
      <w:keepNext/>
      <w:ind w:firstLine="142"/>
      <w:outlineLvl w:val="6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E639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E639D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639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E639D3"/>
    <w:rPr>
      <w:color w:val="0000FF"/>
      <w:u w:val="none"/>
    </w:rPr>
  </w:style>
  <w:style w:type="paragraph" w:customStyle="1" w:styleId="Application">
    <w:name w:val="Application!Приложение"/>
    <w:rsid w:val="00E639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39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39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39D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39D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8f21b21c-a408-42c4-b9fe-a939b863c84a.html" TargetMode="External"/><Relationship Id="rId13" Type="http://schemas.openxmlformats.org/officeDocument/2006/relationships/hyperlink" Target="http://dostup.scli.ru:8111//content/act/cabf7fcd-b107-4ac1-8452-9c41f58a642b.html" TargetMode="External"/><Relationship Id="rId18" Type="http://schemas.openxmlformats.org/officeDocument/2006/relationships/hyperlink" Target="http://dostup.scli.ru:8111//content/act/8f21b21c-a408-42c4-b9fe-a939b863c84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regions/" TargetMode="External"/><Relationship Id="rId1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/content/act/f7de1846-3c6a-47ab-b440-b8e4cea90c6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f7de1846-3c6a-47ab-b440-b8e4cea90c6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/content/act/8f21b21c-a408-42c4-b9fe-a939b863c84a.html" TargetMode="External"/><Relationship Id="rId10" Type="http://schemas.openxmlformats.org/officeDocument/2006/relationships/hyperlink" Target="http://dostup.scli.ru:8111//content/act/8f21b21c-a408-42c4-b9fe-a939b863c84a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8f21b21c-a408-42c4-b9fe-a939b863c84a.html" TargetMode="External"/><Relationship Id="rId14" Type="http://schemas.openxmlformats.org/officeDocument/2006/relationships/hyperlink" Target="http://dostup.scli.ru:8111//content/act/f7de1846-3c6a-47ab-b440-b8e4cea90c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6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17028</CharactersWithSpaces>
  <SharedDoc>false</SharedDoc>
  <HLinks>
    <vt:vector size="66" baseType="variant">
      <vt:variant>
        <vt:i4>3145787</vt:i4>
      </vt:variant>
      <vt:variant>
        <vt:i4>30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6815853</vt:i4>
      </vt:variant>
      <vt:variant>
        <vt:i4>24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6946918</vt:i4>
      </vt:variant>
      <vt:variant>
        <vt:i4>15</vt:i4>
      </vt:variant>
      <vt:variant>
        <vt:i4>0</vt:i4>
      </vt:variant>
      <vt:variant>
        <vt:i4>5</vt:i4>
      </vt:variant>
      <vt:variant>
        <vt:lpwstr>/content/act/cabf7fcd-b107-4ac1-8452-9c41f58a642b.html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2010-05-18T05:04:00Z</cp:lastPrinted>
  <dcterms:created xsi:type="dcterms:W3CDTF">2017-10-31T08:41:00Z</dcterms:created>
  <dcterms:modified xsi:type="dcterms:W3CDTF">2017-10-31T08:41:00Z</dcterms:modified>
</cp:coreProperties>
</file>