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FF" w:rsidRPr="00C10F73" w:rsidRDefault="00640BA1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914400" cy="10795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FF" w:rsidRPr="00C10F73" w:rsidRDefault="009749FF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Администрация Промышленновского района</w:t>
      </w:r>
    </w:p>
    <w:p w:rsidR="009749FF" w:rsidRPr="00C10F73" w:rsidRDefault="009749FF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749FF" w:rsidRPr="00C10F73" w:rsidRDefault="009749FF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 xml:space="preserve">РАСПОРЯЖЕНИЕ </w:t>
      </w:r>
    </w:p>
    <w:p w:rsidR="00C10F73" w:rsidRPr="00C10F73" w:rsidRDefault="00C10F73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749FF" w:rsidRPr="00C10F73" w:rsidRDefault="00C10F73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562-р от 28.03.2008</w:t>
      </w:r>
    </w:p>
    <w:p w:rsidR="009749FF" w:rsidRPr="00C10F73" w:rsidRDefault="00C10F73" w:rsidP="00C10F7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72430" w:rsidRPr="00C10F73" w:rsidRDefault="000F3204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О</w:t>
      </w:r>
      <w:r w:rsidR="001E6A34" w:rsidRPr="00C10F73">
        <w:rPr>
          <w:rFonts w:cs="Arial"/>
          <w:b/>
          <w:bCs/>
          <w:kern w:val="28"/>
          <w:sz w:val="32"/>
          <w:szCs w:val="32"/>
        </w:rPr>
        <w:t>б утверждении порядка</w:t>
      </w:r>
      <w:r w:rsidR="00B72430" w:rsidRPr="00C10F73">
        <w:rPr>
          <w:rFonts w:cs="Arial"/>
          <w:b/>
          <w:bCs/>
          <w:kern w:val="28"/>
          <w:sz w:val="32"/>
          <w:szCs w:val="32"/>
        </w:rPr>
        <w:t xml:space="preserve"> оформления и</w:t>
      </w:r>
    </w:p>
    <w:p w:rsidR="009749FF" w:rsidRPr="00C10F73" w:rsidRDefault="00B72430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в</w:t>
      </w:r>
      <w:r w:rsidR="000F3204" w:rsidRPr="00C10F73">
        <w:rPr>
          <w:rFonts w:cs="Arial"/>
          <w:b/>
          <w:bCs/>
          <w:kern w:val="28"/>
          <w:sz w:val="32"/>
          <w:szCs w:val="32"/>
        </w:rPr>
        <w:t>ыдачи</w:t>
      </w:r>
      <w:r w:rsidRPr="00C10F73">
        <w:rPr>
          <w:rFonts w:cs="Arial"/>
          <w:b/>
          <w:bCs/>
          <w:kern w:val="28"/>
          <w:sz w:val="32"/>
          <w:szCs w:val="32"/>
        </w:rPr>
        <w:t xml:space="preserve"> </w:t>
      </w:r>
      <w:r w:rsidR="001E6A34" w:rsidRPr="00C10F73">
        <w:rPr>
          <w:rFonts w:cs="Arial"/>
          <w:b/>
          <w:bCs/>
          <w:kern w:val="28"/>
          <w:sz w:val="32"/>
          <w:szCs w:val="32"/>
        </w:rPr>
        <w:t>г</w:t>
      </w:r>
      <w:r w:rsidR="000F3204" w:rsidRPr="00C10F73">
        <w:rPr>
          <w:rFonts w:cs="Arial"/>
          <w:b/>
          <w:bCs/>
          <w:kern w:val="28"/>
          <w:sz w:val="32"/>
          <w:szCs w:val="32"/>
        </w:rPr>
        <w:t>енерального</w:t>
      </w:r>
      <w:r w:rsidR="001E6A34" w:rsidRPr="00C10F73">
        <w:rPr>
          <w:rFonts w:cs="Arial"/>
          <w:b/>
          <w:bCs/>
          <w:kern w:val="28"/>
          <w:sz w:val="32"/>
          <w:szCs w:val="32"/>
        </w:rPr>
        <w:t xml:space="preserve"> </w:t>
      </w:r>
      <w:r w:rsidR="000F3204" w:rsidRPr="00C10F73">
        <w:rPr>
          <w:rFonts w:cs="Arial"/>
          <w:b/>
          <w:bCs/>
          <w:kern w:val="28"/>
          <w:sz w:val="32"/>
          <w:szCs w:val="32"/>
        </w:rPr>
        <w:t>разрешения</w:t>
      </w:r>
      <w:r w:rsidR="009749FF" w:rsidRPr="00C10F73">
        <w:rPr>
          <w:rFonts w:cs="Arial"/>
          <w:b/>
          <w:bCs/>
          <w:kern w:val="28"/>
          <w:sz w:val="32"/>
          <w:szCs w:val="32"/>
        </w:rPr>
        <w:t>, разрешения</w:t>
      </w:r>
    </w:p>
    <w:p w:rsidR="00B72430" w:rsidRPr="00C10F73" w:rsidRDefault="000F3204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на</w:t>
      </w:r>
      <w:r w:rsidR="009749FF" w:rsidRPr="00C10F73">
        <w:rPr>
          <w:rFonts w:cs="Arial"/>
          <w:b/>
          <w:bCs/>
          <w:kern w:val="28"/>
          <w:sz w:val="32"/>
          <w:szCs w:val="32"/>
        </w:rPr>
        <w:t xml:space="preserve"> </w:t>
      </w:r>
      <w:r w:rsidR="00B72430" w:rsidRPr="00C10F73">
        <w:rPr>
          <w:rFonts w:cs="Arial"/>
          <w:b/>
          <w:bCs/>
          <w:kern w:val="28"/>
          <w:sz w:val="32"/>
          <w:szCs w:val="32"/>
        </w:rPr>
        <w:t>о</w:t>
      </w:r>
      <w:r w:rsidRPr="00C10F73">
        <w:rPr>
          <w:rFonts w:cs="Arial"/>
          <w:b/>
          <w:bCs/>
          <w:kern w:val="28"/>
          <w:sz w:val="32"/>
          <w:szCs w:val="32"/>
        </w:rPr>
        <w:t>ткрытие</w:t>
      </w:r>
      <w:r w:rsidR="00B72430" w:rsidRPr="00C10F73">
        <w:rPr>
          <w:rFonts w:cs="Arial"/>
          <w:b/>
          <w:bCs/>
          <w:kern w:val="28"/>
          <w:sz w:val="32"/>
          <w:szCs w:val="32"/>
        </w:rPr>
        <w:t xml:space="preserve"> </w:t>
      </w:r>
      <w:r w:rsidRPr="00C10F73">
        <w:rPr>
          <w:rFonts w:cs="Arial"/>
          <w:b/>
          <w:bCs/>
          <w:kern w:val="28"/>
          <w:sz w:val="32"/>
          <w:szCs w:val="32"/>
        </w:rPr>
        <w:t xml:space="preserve">лицевых счетов по учету </w:t>
      </w:r>
    </w:p>
    <w:p w:rsidR="009749FF" w:rsidRPr="00C10F73" w:rsidRDefault="000F3204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средств, полученных</w:t>
      </w:r>
      <w:r w:rsidR="001E6A34" w:rsidRPr="00C10F73">
        <w:rPr>
          <w:rFonts w:cs="Arial"/>
          <w:b/>
          <w:bCs/>
          <w:kern w:val="28"/>
          <w:sz w:val="32"/>
          <w:szCs w:val="32"/>
        </w:rPr>
        <w:t xml:space="preserve"> </w:t>
      </w:r>
      <w:r w:rsidRPr="00C10F7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9749FF" w:rsidRPr="00C10F73">
        <w:rPr>
          <w:rFonts w:cs="Arial"/>
          <w:b/>
          <w:bCs/>
          <w:kern w:val="28"/>
          <w:sz w:val="32"/>
          <w:szCs w:val="32"/>
        </w:rPr>
        <w:t xml:space="preserve">платных услуг, </w:t>
      </w:r>
    </w:p>
    <w:p w:rsidR="009749FF" w:rsidRPr="00C10F73" w:rsidRDefault="009749FF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безвозмездных поступлений и иной</w:t>
      </w:r>
    </w:p>
    <w:p w:rsidR="000F3204" w:rsidRPr="00C10F73" w:rsidRDefault="000F3204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приносящей доход</w:t>
      </w:r>
      <w:r w:rsidR="00B72430" w:rsidRPr="00C10F73">
        <w:rPr>
          <w:rFonts w:cs="Arial"/>
          <w:b/>
          <w:bCs/>
          <w:kern w:val="28"/>
          <w:sz w:val="32"/>
          <w:szCs w:val="32"/>
        </w:rPr>
        <w:t xml:space="preserve"> </w:t>
      </w:r>
      <w:r w:rsidRPr="00C10F73">
        <w:rPr>
          <w:rFonts w:cs="Arial"/>
          <w:b/>
          <w:bCs/>
          <w:kern w:val="28"/>
          <w:sz w:val="32"/>
          <w:szCs w:val="32"/>
        </w:rPr>
        <w:t>деятельности</w:t>
      </w:r>
    </w:p>
    <w:p w:rsidR="000F3204" w:rsidRPr="00C10F73" w:rsidRDefault="000F3204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0F3204" w:rsidRPr="00C10F73" w:rsidRDefault="003E6C58" w:rsidP="00C10F73">
      <w:pPr>
        <w:ind w:left="567" w:firstLine="0"/>
      </w:pPr>
      <w:r w:rsidRPr="00C10F73">
        <w:t>В связи с изменениями бюджетного законодательства, в целях регулирования бюджетного процесса</w:t>
      </w:r>
      <w:r w:rsidR="00AB71B7" w:rsidRPr="00C10F73">
        <w:t>:</w:t>
      </w:r>
    </w:p>
    <w:p w:rsidR="003E6C58" w:rsidRPr="00C10F73" w:rsidRDefault="003E6C58" w:rsidP="00C10F73">
      <w:pPr>
        <w:ind w:left="567" w:firstLine="0"/>
      </w:pPr>
      <w:r w:rsidRPr="00C10F73">
        <w:t>Утвердить положение о порядке</w:t>
      </w:r>
      <w:r w:rsidR="00963AE1" w:rsidRPr="00C10F73">
        <w:t xml:space="preserve"> оформления</w:t>
      </w:r>
      <w:r w:rsidR="00B72430" w:rsidRPr="00C10F73">
        <w:t xml:space="preserve"> и</w:t>
      </w:r>
      <w:r w:rsidRPr="00C10F73">
        <w:t xml:space="preserve"> выдачи генерального разрешения на открытие лицевых счетов по учету средств, полученн</w:t>
      </w:r>
      <w:r w:rsidR="001E6A34" w:rsidRPr="00C10F73">
        <w:t>ых от приносящей доход деятельн</w:t>
      </w:r>
      <w:r w:rsidRPr="00C10F73">
        <w:t>ости.</w:t>
      </w:r>
      <w:r w:rsidR="00AB71B7" w:rsidRPr="00C10F73">
        <w:t>(Приложение№1)</w:t>
      </w:r>
    </w:p>
    <w:p w:rsidR="001E6A34" w:rsidRPr="00C10F73" w:rsidRDefault="001E6A34" w:rsidP="00C10F73">
      <w:pPr>
        <w:ind w:left="567" w:firstLine="0"/>
      </w:pPr>
      <w:r w:rsidRPr="00C10F73">
        <w:t xml:space="preserve">Настоящий приказ вступает в силу со дня подписания Соглашения о проведении и учете операций со средствами, полученными из внебюджетных источников бюджетными учреждениями </w:t>
      </w:r>
      <w:r w:rsidR="009749FF" w:rsidRPr="00C10F73">
        <w:t>Промышленновского района</w:t>
      </w:r>
      <w:r w:rsidRPr="00C10F73">
        <w:t xml:space="preserve">, заключенного с </w:t>
      </w:r>
      <w:r w:rsidR="009749FF" w:rsidRPr="00C10F73">
        <w:t xml:space="preserve">Отделением по Промышленновскому району УФК </w:t>
      </w:r>
      <w:r w:rsidRPr="00C10F73">
        <w:t>по Кемеровской области.</w:t>
      </w:r>
    </w:p>
    <w:p w:rsidR="003E6C58" w:rsidRPr="00C10F73" w:rsidRDefault="001E6A34" w:rsidP="00C10F73">
      <w:pPr>
        <w:ind w:left="567" w:firstLine="0"/>
      </w:pPr>
      <w:r w:rsidRPr="00C10F73">
        <w:t>Контроль за выполнением настоящего приказа возложить на зам</w:t>
      </w:r>
      <w:r w:rsidR="00AB71B7" w:rsidRPr="00C10F73">
        <w:t>. Главы района по экономике Игину О.А.</w:t>
      </w:r>
    </w:p>
    <w:p w:rsidR="001E6A34" w:rsidRPr="00C10F73" w:rsidRDefault="001E6A34" w:rsidP="00C10F73">
      <w:pPr>
        <w:ind w:left="567" w:firstLine="0"/>
      </w:pPr>
    </w:p>
    <w:p w:rsidR="00317BBB" w:rsidRPr="00C10F73" w:rsidRDefault="00AB71B7" w:rsidP="00C10F73">
      <w:pPr>
        <w:ind w:left="567" w:firstLine="0"/>
      </w:pPr>
      <w:r w:rsidRPr="00C10F73">
        <w:t>Глава района</w:t>
      </w:r>
      <w:r w:rsidR="001E6A34" w:rsidRPr="00C10F73">
        <w:tab/>
        <w:t xml:space="preserve"> А.</w:t>
      </w:r>
      <w:r w:rsidRPr="00C10F73">
        <w:t>И</w:t>
      </w:r>
      <w:r w:rsidR="001E6A34" w:rsidRPr="00C10F73">
        <w:t>.</w:t>
      </w:r>
      <w:r w:rsidRPr="00C10F73">
        <w:t>Шмидт</w:t>
      </w:r>
    </w:p>
    <w:p w:rsidR="00317BBB" w:rsidRPr="00C10F73" w:rsidRDefault="00317BBB" w:rsidP="00C10F73">
      <w:pPr>
        <w:ind w:left="567" w:firstLine="0"/>
      </w:pPr>
    </w:p>
    <w:p w:rsidR="00C10F73" w:rsidRDefault="00317BBB" w:rsidP="00C10F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49344F" w:rsidRPr="00C10F73">
        <w:rPr>
          <w:rFonts w:cs="Arial"/>
          <w:b/>
          <w:bCs/>
          <w:kern w:val="28"/>
          <w:sz w:val="32"/>
          <w:szCs w:val="32"/>
        </w:rPr>
        <w:t xml:space="preserve">к </w:t>
      </w:r>
      <w:r w:rsidR="00AB71B7" w:rsidRPr="00C10F73">
        <w:rPr>
          <w:rFonts w:cs="Arial"/>
          <w:b/>
          <w:bCs/>
          <w:kern w:val="28"/>
          <w:sz w:val="32"/>
          <w:szCs w:val="32"/>
        </w:rPr>
        <w:t>распо</w:t>
      </w:r>
      <w:r w:rsidRPr="00C10F73">
        <w:rPr>
          <w:rFonts w:cs="Arial"/>
          <w:b/>
          <w:bCs/>
          <w:kern w:val="28"/>
          <w:sz w:val="32"/>
          <w:szCs w:val="32"/>
        </w:rPr>
        <w:t xml:space="preserve">ряжению </w:t>
      </w:r>
    </w:p>
    <w:p w:rsidR="0049344F" w:rsidRPr="00C10F73" w:rsidRDefault="00317BBB" w:rsidP="00C10F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  <w:r w:rsidR="00AB71B7" w:rsidRPr="00C10F73">
        <w:rPr>
          <w:rFonts w:cs="Arial"/>
          <w:b/>
          <w:bCs/>
          <w:kern w:val="28"/>
          <w:sz w:val="32"/>
          <w:szCs w:val="32"/>
        </w:rPr>
        <w:t>района</w:t>
      </w:r>
    </w:p>
    <w:p w:rsidR="00FA141F" w:rsidRPr="00C10F73" w:rsidRDefault="0049344F" w:rsidP="00C10F7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от</w:t>
      </w:r>
      <w:r w:rsidR="00317BBB" w:rsidRPr="00C10F73">
        <w:rPr>
          <w:rFonts w:cs="Arial"/>
          <w:b/>
          <w:bCs/>
          <w:kern w:val="28"/>
          <w:sz w:val="32"/>
          <w:szCs w:val="32"/>
        </w:rPr>
        <w:t xml:space="preserve"> </w:t>
      </w:r>
      <w:r w:rsidR="00310FB5" w:rsidRPr="00C10F73">
        <w:rPr>
          <w:rFonts w:cs="Arial"/>
          <w:b/>
          <w:bCs/>
          <w:kern w:val="28"/>
          <w:sz w:val="32"/>
          <w:szCs w:val="32"/>
        </w:rPr>
        <w:t>28.03.2008г.</w:t>
      </w:r>
      <w:r w:rsidR="00C10F73" w:rsidRPr="00C10F73">
        <w:rPr>
          <w:rFonts w:cs="Arial"/>
          <w:b/>
          <w:bCs/>
          <w:kern w:val="28"/>
          <w:sz w:val="32"/>
          <w:szCs w:val="32"/>
        </w:rPr>
        <w:t xml:space="preserve"> </w:t>
      </w:r>
      <w:r w:rsidR="00310FB5" w:rsidRPr="00C10F73">
        <w:rPr>
          <w:rFonts w:cs="Arial"/>
          <w:b/>
          <w:bCs/>
          <w:kern w:val="28"/>
          <w:sz w:val="32"/>
          <w:szCs w:val="32"/>
        </w:rPr>
        <w:t>562-р</w:t>
      </w:r>
      <w:r w:rsidR="00317BBB" w:rsidRPr="00C10F7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C10F73" w:rsidRPr="00C10F73" w:rsidRDefault="00C10F73" w:rsidP="00C10F73">
      <w:pPr>
        <w:ind w:left="567" w:firstLine="0"/>
      </w:pPr>
    </w:p>
    <w:p w:rsidR="0049344F" w:rsidRPr="00C10F73" w:rsidRDefault="0049344F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ПОЛОЖЕНИЕ</w:t>
      </w:r>
    </w:p>
    <w:p w:rsidR="0049344F" w:rsidRPr="00C10F73" w:rsidRDefault="001A0E38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о</w:t>
      </w:r>
      <w:r w:rsidR="0049344F" w:rsidRPr="00C10F73">
        <w:rPr>
          <w:rFonts w:cs="Arial"/>
          <w:b/>
          <w:bCs/>
          <w:kern w:val="28"/>
          <w:sz w:val="32"/>
          <w:szCs w:val="32"/>
        </w:rPr>
        <w:t xml:space="preserve"> </w:t>
      </w:r>
      <w:r w:rsidRPr="00C10F73">
        <w:rPr>
          <w:rFonts w:cs="Arial"/>
          <w:b/>
          <w:bCs/>
          <w:kern w:val="28"/>
          <w:sz w:val="32"/>
          <w:szCs w:val="32"/>
        </w:rPr>
        <w:t>порядке</w:t>
      </w:r>
      <w:r w:rsidR="00B72430" w:rsidRPr="00C10F73">
        <w:rPr>
          <w:rFonts w:cs="Arial"/>
          <w:b/>
          <w:bCs/>
          <w:kern w:val="28"/>
          <w:sz w:val="32"/>
          <w:szCs w:val="32"/>
        </w:rPr>
        <w:t xml:space="preserve"> оформления и</w:t>
      </w:r>
      <w:r w:rsidRPr="00C10F73">
        <w:rPr>
          <w:rFonts w:cs="Arial"/>
          <w:b/>
          <w:bCs/>
          <w:kern w:val="28"/>
          <w:sz w:val="32"/>
          <w:szCs w:val="32"/>
        </w:rPr>
        <w:t xml:space="preserve"> выдачи генерального разрешения на открытие </w:t>
      </w:r>
    </w:p>
    <w:p w:rsidR="001A0E38" w:rsidRPr="00C10F73" w:rsidRDefault="001A0E38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>лицевых счетов по учету средств, полученных от приносящей</w:t>
      </w:r>
    </w:p>
    <w:p w:rsidR="001A0E38" w:rsidRDefault="001A0E38" w:rsidP="00C10F73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10F73">
        <w:rPr>
          <w:rFonts w:cs="Arial"/>
          <w:b/>
          <w:bCs/>
          <w:kern w:val="28"/>
          <w:sz w:val="32"/>
          <w:szCs w:val="32"/>
        </w:rPr>
        <w:t xml:space="preserve">доход деятельности </w:t>
      </w:r>
    </w:p>
    <w:p w:rsidR="00C10F73" w:rsidRPr="00C10F73" w:rsidRDefault="00C10F73" w:rsidP="00C10F73">
      <w:pPr>
        <w:ind w:left="567" w:firstLine="0"/>
        <w:jc w:val="center"/>
      </w:pPr>
    </w:p>
    <w:p w:rsidR="001A0E38" w:rsidRPr="00C10F73" w:rsidRDefault="001A0E38" w:rsidP="00C10F73">
      <w:pPr>
        <w:ind w:left="567" w:firstLine="0"/>
        <w:jc w:val="center"/>
      </w:pPr>
      <w:r w:rsidRPr="00C10F73">
        <w:rPr>
          <w:rFonts w:cs="Arial"/>
          <w:b/>
          <w:bCs/>
          <w:iCs/>
          <w:sz w:val="30"/>
          <w:szCs w:val="28"/>
        </w:rPr>
        <w:lastRenderedPageBreak/>
        <w:t>1. Общее положение</w:t>
      </w:r>
    </w:p>
    <w:p w:rsidR="00C10F73" w:rsidRDefault="001A0E38" w:rsidP="00C10F73">
      <w:pPr>
        <w:ind w:left="567" w:firstLine="0"/>
      </w:pPr>
      <w:r w:rsidRPr="00C10F73">
        <w:t>1.1. Настоящее Положение устанавливает порядок</w:t>
      </w:r>
      <w:r w:rsidR="00B72430" w:rsidRPr="00C10F73">
        <w:t xml:space="preserve"> оформления и</w:t>
      </w:r>
      <w:r w:rsidRPr="00C10F73">
        <w:t xml:space="preserve"> выдачи</w:t>
      </w:r>
      <w:r w:rsidR="00C45B69" w:rsidRPr="00C10F73">
        <w:t xml:space="preserve"> </w:t>
      </w:r>
      <w:r w:rsidR="00AB71B7" w:rsidRPr="00C10F73">
        <w:t>ф</w:t>
      </w:r>
      <w:r w:rsidR="00C45B69" w:rsidRPr="00C10F73">
        <w:t xml:space="preserve">инансовым управлением </w:t>
      </w:r>
      <w:r w:rsidR="00AB71B7" w:rsidRPr="00C10F73">
        <w:t>по Промышленновскому району</w:t>
      </w:r>
      <w:r w:rsidR="006674AE" w:rsidRPr="00C10F73">
        <w:t xml:space="preserve"> (далее по тексту – У</w:t>
      </w:r>
      <w:r w:rsidR="00A329F7" w:rsidRPr="00C10F73">
        <w:t>правление)</w:t>
      </w:r>
      <w:r w:rsidR="00C45B69" w:rsidRPr="00C10F73">
        <w:t xml:space="preserve"> генеральных разрешений</w:t>
      </w:r>
      <w:r w:rsidRPr="00C10F73">
        <w:t xml:space="preserve"> на открытие лицевых счетов по учету средств, полученных от приносящей доход деятельности </w:t>
      </w:r>
      <w:r w:rsidR="00C45B69" w:rsidRPr="00C10F73">
        <w:t xml:space="preserve">главным распорядителям средств </w:t>
      </w:r>
      <w:r w:rsidR="00AB71B7" w:rsidRPr="00C10F73">
        <w:t>муниципа</w:t>
      </w:r>
      <w:r w:rsidR="00504EA2" w:rsidRPr="00C10F73">
        <w:t>ль</w:t>
      </w:r>
      <w:r w:rsidR="00AB71B7" w:rsidRPr="00C10F73">
        <w:t>ного</w:t>
      </w:r>
      <w:r w:rsidR="00C45B69" w:rsidRPr="00C10F73">
        <w:t xml:space="preserve"> бюджета</w:t>
      </w:r>
      <w:r w:rsidR="00A329F7" w:rsidRPr="00C10F73">
        <w:t xml:space="preserve"> (далее по тексту – главным распорядителям)</w:t>
      </w:r>
      <w:r w:rsidR="00B72430" w:rsidRPr="00C10F73">
        <w:t xml:space="preserve"> в </w:t>
      </w:r>
      <w:r w:rsidR="00AB71B7" w:rsidRPr="00C10F73">
        <w:t>Отделении по Промышленновскому району УФК</w:t>
      </w:r>
      <w:r w:rsidR="00B72430" w:rsidRPr="00C10F73">
        <w:t xml:space="preserve"> по Кемеровской области.</w:t>
      </w:r>
    </w:p>
    <w:p w:rsidR="00114F7A" w:rsidRPr="00C10F73" w:rsidRDefault="00C45B69" w:rsidP="00C10F73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C10F73">
        <w:rPr>
          <w:rFonts w:cs="Arial"/>
          <w:b/>
          <w:bCs/>
          <w:iCs/>
          <w:sz w:val="30"/>
          <w:szCs w:val="28"/>
        </w:rPr>
        <w:t>2. Порядок выдачи</w:t>
      </w:r>
    </w:p>
    <w:p w:rsidR="000F3204" w:rsidRPr="00C10F73" w:rsidRDefault="00103986" w:rsidP="00C10F73">
      <w:pPr>
        <w:ind w:left="567" w:firstLine="0"/>
      </w:pPr>
      <w:r w:rsidRPr="00C10F73">
        <w:t>2</w:t>
      </w:r>
      <w:r w:rsidR="000F3204" w:rsidRPr="00C10F73">
        <w:t>.</w:t>
      </w:r>
      <w:r w:rsidR="00FE70FB" w:rsidRPr="00C10F73">
        <w:t>1</w:t>
      </w:r>
      <w:r w:rsidRPr="00C10F73">
        <w:t>.</w:t>
      </w:r>
      <w:r w:rsidR="000F3204" w:rsidRPr="00C10F73">
        <w:t xml:space="preserve"> Для оформления генерального разрешения главный ра</w:t>
      </w:r>
      <w:r w:rsidR="00A329F7" w:rsidRPr="00C10F73">
        <w:t>спорядитель</w:t>
      </w:r>
      <w:r w:rsidR="000F3204" w:rsidRPr="00C10F73">
        <w:t xml:space="preserve"> представляет </w:t>
      </w:r>
      <w:r w:rsidR="00A329F7" w:rsidRPr="00C10F73">
        <w:t>в</w:t>
      </w:r>
      <w:r w:rsidR="006674AE" w:rsidRPr="00C10F73">
        <w:t xml:space="preserve"> У</w:t>
      </w:r>
      <w:r w:rsidR="00C45B69" w:rsidRPr="00C10F73">
        <w:t xml:space="preserve">правление </w:t>
      </w:r>
      <w:r w:rsidR="000F3204" w:rsidRPr="00C10F73">
        <w:t>следующие документы:</w:t>
      </w:r>
    </w:p>
    <w:p w:rsidR="000F3204" w:rsidRPr="00C10F73" w:rsidRDefault="000F3204" w:rsidP="00C10F73">
      <w:pPr>
        <w:ind w:left="567" w:firstLine="0"/>
      </w:pPr>
      <w:r w:rsidRPr="00C10F73">
        <w:t>а) заявление на выдачу генерального разрешения, которое оформляется на бланке главного распо</w:t>
      </w:r>
      <w:r w:rsidR="00C45B69" w:rsidRPr="00C10F73">
        <w:t>рядителя средств (приложение N 1</w:t>
      </w:r>
      <w:r w:rsidRPr="00C10F73">
        <w:t>);</w:t>
      </w:r>
    </w:p>
    <w:p w:rsidR="000F3204" w:rsidRPr="00C10F73" w:rsidRDefault="000F3204" w:rsidP="00C10F73">
      <w:pPr>
        <w:ind w:left="567" w:firstLine="0"/>
      </w:pPr>
      <w:r w:rsidRPr="00C10F73">
        <w:t>б) заполненный в установленном порядке бланк генерал</w:t>
      </w:r>
      <w:r w:rsidR="00C45B69" w:rsidRPr="00C10F73">
        <w:t>ьного разрешения (приложение N 2</w:t>
      </w:r>
      <w:r w:rsidRPr="00C10F73">
        <w:t xml:space="preserve">) в </w:t>
      </w:r>
      <w:r w:rsidR="00053464" w:rsidRPr="00C10F73">
        <w:t xml:space="preserve">четырех </w:t>
      </w:r>
      <w:r w:rsidRPr="00C10F73">
        <w:t>экземплярах на бумажном носителе,</w:t>
      </w:r>
      <w:r w:rsidR="00310FB5" w:rsidRPr="00C10F73">
        <w:t xml:space="preserve"> один из которых </w:t>
      </w:r>
      <w:r w:rsidR="008A76A4" w:rsidRPr="00C10F73">
        <w:t>«Визовы</w:t>
      </w:r>
      <w:r w:rsidR="00053464" w:rsidRPr="00C10F73">
        <w:t>й»</w:t>
      </w:r>
      <w:r w:rsidR="00310FB5" w:rsidRPr="00C10F73">
        <w:t>,</w:t>
      </w:r>
      <w:r w:rsidR="00C10F73">
        <w:t xml:space="preserve"> </w:t>
      </w:r>
      <w:r w:rsidRPr="00C10F73">
        <w:t>визируется руководителем юридической службы главного распорядителя средств, подписями руководителя и главного бухгалтера (их заместителями) и заверяется оттиском печати главного распорядителя средств и, кроме того</w:t>
      </w:r>
      <w:r w:rsidR="00FE70FB" w:rsidRPr="00C10F73">
        <w:t>, данный бланк представляется</w:t>
      </w:r>
      <w:r w:rsidRPr="00C10F73">
        <w:t xml:space="preserve"> в электронном виде (на дискете);</w:t>
      </w:r>
    </w:p>
    <w:p w:rsidR="000F3204" w:rsidRPr="00C10F73" w:rsidRDefault="000F3204" w:rsidP="00C10F73">
      <w:pPr>
        <w:ind w:left="567" w:firstLine="0"/>
      </w:pPr>
      <w:r w:rsidRPr="00C10F73">
        <w:t>в) копии законодательных актов</w:t>
      </w:r>
      <w:r w:rsidR="00635156" w:rsidRPr="00C10F73">
        <w:t xml:space="preserve"> Российской Федерации,</w:t>
      </w:r>
      <w:r w:rsidR="00B72430" w:rsidRPr="00C10F73">
        <w:t xml:space="preserve"> Кемеровской области</w:t>
      </w:r>
      <w:r w:rsidRPr="00C10F73">
        <w:t>, нормативных правовых актов Пр</w:t>
      </w:r>
      <w:r w:rsidR="00635156" w:rsidRPr="00C10F73">
        <w:t xml:space="preserve">езидента Российской Федерации, </w:t>
      </w:r>
      <w:r w:rsidRPr="00C10F73">
        <w:t xml:space="preserve">Правительства Российской Федерации, </w:t>
      </w:r>
      <w:r w:rsidR="00B72430" w:rsidRPr="00C10F73">
        <w:t xml:space="preserve">федеральных органов исполнительной власти, </w:t>
      </w:r>
      <w:r w:rsidRPr="00C10F73">
        <w:t>органов исполнительной власти</w:t>
      </w:r>
      <w:r w:rsidR="00103986" w:rsidRPr="00C10F73">
        <w:t xml:space="preserve"> Кемеровской области</w:t>
      </w:r>
      <w:r w:rsidR="00635156" w:rsidRPr="00C10F73">
        <w:t>,</w:t>
      </w:r>
      <w:r w:rsidR="00310FB5" w:rsidRPr="00C10F73">
        <w:t xml:space="preserve"> органов исполнительной власти местного самоуправления,</w:t>
      </w:r>
      <w:r w:rsidR="00635156" w:rsidRPr="00C10F73">
        <w:t xml:space="preserve"> других нормативных правовых актов</w:t>
      </w:r>
      <w:r w:rsidR="005A0AA0" w:rsidRPr="00C10F73">
        <w:t xml:space="preserve"> и учредитель</w:t>
      </w:r>
      <w:r w:rsidR="00635156" w:rsidRPr="00C10F73">
        <w:t>ных документов (уставов</w:t>
      </w:r>
      <w:r w:rsidRPr="00C10F73">
        <w:t xml:space="preserve">) </w:t>
      </w:r>
      <w:r w:rsidR="00635156" w:rsidRPr="00C10F73">
        <w:t>бюджетных учреждений, являющих</w:t>
      </w:r>
      <w:r w:rsidR="005A0AA0" w:rsidRPr="00C10F73">
        <w:t>ся</w:t>
      </w:r>
      <w:r w:rsidRPr="00C10F73">
        <w:t xml:space="preserve"> основанием</w:t>
      </w:r>
      <w:r w:rsidR="00103986" w:rsidRPr="00C10F73">
        <w:t xml:space="preserve"> для образования</w:t>
      </w:r>
      <w:r w:rsidRPr="00C10F73">
        <w:t xml:space="preserve"> внебюджетных средств.</w:t>
      </w:r>
    </w:p>
    <w:p w:rsidR="005A0AA0" w:rsidRPr="00C10F73" w:rsidRDefault="0011585B" w:rsidP="00C10F73">
      <w:pPr>
        <w:ind w:left="567" w:firstLine="0"/>
      </w:pPr>
      <w:r w:rsidRPr="00C10F73">
        <w:t>При этом, графы 4 и 5 приложений</w:t>
      </w:r>
      <w:r w:rsidR="00C10F73">
        <w:t xml:space="preserve"> </w:t>
      </w:r>
      <w:r w:rsidR="005A0AA0" w:rsidRPr="00C10F73">
        <w:t>2</w:t>
      </w:r>
      <w:r w:rsidRPr="00C10F73">
        <w:t xml:space="preserve"> и</w:t>
      </w:r>
      <w:r w:rsidR="00C10F73">
        <w:t xml:space="preserve"> </w:t>
      </w:r>
      <w:r w:rsidRPr="00C10F73">
        <w:t>4</w:t>
      </w:r>
      <w:r w:rsidR="005A0AA0" w:rsidRPr="00C10F73">
        <w:t>, графы 5 и 7 приложений</w:t>
      </w:r>
      <w:r w:rsidR="00C10F73">
        <w:t xml:space="preserve"> </w:t>
      </w:r>
      <w:r w:rsidR="005A0AA0" w:rsidRPr="00C10F73">
        <w:t>5 и</w:t>
      </w:r>
      <w:r w:rsidR="00C10F73">
        <w:t xml:space="preserve"> </w:t>
      </w:r>
      <w:r w:rsidR="005A0AA0" w:rsidRPr="00C10F73">
        <w:t>6 к настоящему Положению заполняются главными распорядителями (</w:t>
      </w:r>
      <w:r w:rsidR="00C74B82" w:rsidRPr="00C10F73">
        <w:t>распорядителями средств</w:t>
      </w:r>
      <w:r w:rsidR="005A0AA0" w:rsidRPr="00C10F73">
        <w:t>)</w:t>
      </w:r>
      <w:r w:rsidR="00B74749" w:rsidRPr="00C10F73">
        <w:t xml:space="preserve"> в соответствии с направлениями использования внебюджетных средств</w:t>
      </w:r>
      <w:r w:rsidR="00635156" w:rsidRPr="00C10F73">
        <w:t>,</w:t>
      </w:r>
      <w:r w:rsidR="00B74749" w:rsidRPr="00C10F73">
        <w:t xml:space="preserve"> согласно утвержденному Положению о порядке зачисления и расходования доходов от платных услуг, средств безвозмездных поступлений и иной приносящей доход деятельности.</w:t>
      </w:r>
    </w:p>
    <w:p w:rsidR="000F3204" w:rsidRPr="00C10F73" w:rsidRDefault="006674AE" w:rsidP="00C10F73">
      <w:pPr>
        <w:ind w:left="567" w:firstLine="0"/>
      </w:pPr>
      <w:r w:rsidRPr="00C10F73">
        <w:t>У</w:t>
      </w:r>
      <w:r w:rsidR="00103986" w:rsidRPr="00C10F73">
        <w:t>правление</w:t>
      </w:r>
      <w:r w:rsidR="000F3204" w:rsidRPr="00C10F73">
        <w:t xml:space="preserve"> в течение</w:t>
      </w:r>
      <w:r w:rsidR="00C416E0" w:rsidRPr="00C10F73">
        <w:t xml:space="preserve"> пяти рабочих дней рассматривает</w:t>
      </w:r>
      <w:r w:rsidR="000F3204" w:rsidRPr="00C10F73">
        <w:t xml:space="preserve"> </w:t>
      </w:r>
      <w:r w:rsidR="00FE70FB" w:rsidRPr="00C10F73">
        <w:t xml:space="preserve">представленные </w:t>
      </w:r>
      <w:r w:rsidR="000F3204" w:rsidRPr="00C10F73">
        <w:t>документы.</w:t>
      </w:r>
      <w:r w:rsidR="00103986" w:rsidRPr="00C10F73">
        <w:t xml:space="preserve"> При отсутствии замечаний </w:t>
      </w:r>
      <w:r w:rsidR="00B74749" w:rsidRPr="00C10F73">
        <w:t xml:space="preserve">три </w:t>
      </w:r>
      <w:r w:rsidR="00103986" w:rsidRPr="00C10F73">
        <w:t>экземпляра генерального разрешен</w:t>
      </w:r>
      <w:r w:rsidRPr="00C10F73">
        <w:t>ия подписываются руководителем У</w:t>
      </w:r>
      <w:r w:rsidR="00103986" w:rsidRPr="00C10F73">
        <w:t>правления (его заместителем) и заверяются оттиском гербовой печати</w:t>
      </w:r>
      <w:r w:rsidR="00C10F73">
        <w:t xml:space="preserve"> </w:t>
      </w:r>
      <w:r w:rsidR="00103986" w:rsidRPr="00C10F73">
        <w:t xml:space="preserve">финансового управления </w:t>
      </w:r>
      <w:r w:rsidR="00310FB5" w:rsidRPr="00C10F73">
        <w:t>по Промышленновскому району</w:t>
      </w:r>
      <w:r w:rsidR="000F3204" w:rsidRPr="00C10F73">
        <w:t>.</w:t>
      </w:r>
    </w:p>
    <w:p w:rsidR="000F3204" w:rsidRPr="00C10F73" w:rsidRDefault="00BC160B" w:rsidP="00C10F73">
      <w:pPr>
        <w:ind w:left="567" w:firstLine="0"/>
      </w:pPr>
      <w:r w:rsidRPr="00C10F73">
        <w:t>2</w:t>
      </w:r>
      <w:r w:rsidR="000F3204" w:rsidRPr="00C10F73">
        <w:t>.</w:t>
      </w:r>
      <w:r w:rsidR="00FE70FB" w:rsidRPr="00C10F73">
        <w:t>2</w:t>
      </w:r>
      <w:r w:rsidRPr="00C10F73">
        <w:t>.</w:t>
      </w:r>
      <w:r w:rsidR="000F3204" w:rsidRPr="00C10F73">
        <w:t xml:space="preserve"> При </w:t>
      </w:r>
      <w:r w:rsidR="006674AE" w:rsidRPr="00C10F73">
        <w:t>наличии замечаний У</w:t>
      </w:r>
      <w:r w:rsidR="00A329F7" w:rsidRPr="00C10F73">
        <w:t>правления</w:t>
      </w:r>
      <w:r w:rsidR="000F3204" w:rsidRPr="00C10F73">
        <w:t xml:space="preserve"> (в части правильности оформления генерального разрешения) представленные генеральные разрешения, не позднее срока, установленного для их согласования и подписания, возвращаютс</w:t>
      </w:r>
      <w:r w:rsidR="00A329F7" w:rsidRPr="00C10F73">
        <w:t>я главному распорядителю</w:t>
      </w:r>
      <w:r w:rsidR="000F3204" w:rsidRPr="00C10F73">
        <w:t>.</w:t>
      </w:r>
    </w:p>
    <w:p w:rsidR="000F3204" w:rsidRPr="00C10F73" w:rsidRDefault="00BC160B" w:rsidP="00C10F73">
      <w:pPr>
        <w:ind w:left="567" w:firstLine="0"/>
      </w:pPr>
      <w:r w:rsidRPr="00C10F73">
        <w:t>2</w:t>
      </w:r>
      <w:r w:rsidR="000F3204" w:rsidRPr="00C10F73">
        <w:t>.</w:t>
      </w:r>
      <w:r w:rsidR="00FE70FB" w:rsidRPr="00C10F73">
        <w:t>3</w:t>
      </w:r>
      <w:r w:rsidRPr="00C10F73">
        <w:t>.</w:t>
      </w:r>
      <w:r w:rsidR="000F3204" w:rsidRPr="00C10F73">
        <w:t xml:space="preserve"> Генеральные разрешения регистрир</w:t>
      </w:r>
      <w:r w:rsidR="00FE70FB" w:rsidRPr="00C10F73">
        <w:t>уются</w:t>
      </w:r>
      <w:r w:rsidR="00635156" w:rsidRPr="00C10F73">
        <w:t xml:space="preserve"> в отделе бухгалтерского учета и отчетности</w:t>
      </w:r>
      <w:r w:rsidR="00FE70FB" w:rsidRPr="00C10F73">
        <w:t xml:space="preserve"> У</w:t>
      </w:r>
      <w:r w:rsidR="00635156" w:rsidRPr="00C10F73">
        <w:t>правления</w:t>
      </w:r>
      <w:r w:rsidR="00A329F7" w:rsidRPr="00C10F73">
        <w:t xml:space="preserve"> </w:t>
      </w:r>
      <w:r w:rsidR="000F3204" w:rsidRPr="00C10F73">
        <w:t>в Журнале регистрации генеральных разрешений на открытие лицевых счетов по учету средств, полученных от приносящей доход де</w:t>
      </w:r>
      <w:r w:rsidR="00A329F7" w:rsidRPr="00C10F73">
        <w:t xml:space="preserve">ятельности </w:t>
      </w:r>
      <w:r w:rsidR="00FB62E4" w:rsidRPr="00C10F73">
        <w:t>(приложение N 3</w:t>
      </w:r>
      <w:r w:rsidR="000F3204" w:rsidRPr="00C10F73">
        <w:t>) с присвоением номеров в п</w:t>
      </w:r>
      <w:r w:rsidR="001328E5" w:rsidRPr="00C10F73">
        <w:t>о</w:t>
      </w:r>
      <w:r w:rsidR="00FE70FB" w:rsidRPr="00C10F73">
        <w:t>рядке, установленном пунктом 2.4</w:t>
      </w:r>
      <w:r w:rsidR="001328E5" w:rsidRPr="00C10F73">
        <w:t>.</w:t>
      </w:r>
      <w:r w:rsidR="000F3204" w:rsidRPr="00C10F73">
        <w:t xml:space="preserve"> настоящего П</w:t>
      </w:r>
      <w:r w:rsidR="00E800AA" w:rsidRPr="00C10F73">
        <w:t>оложения</w:t>
      </w:r>
      <w:r w:rsidR="000F3204" w:rsidRPr="00C10F73">
        <w:t>.</w:t>
      </w:r>
    </w:p>
    <w:p w:rsidR="000F3204" w:rsidRPr="00C10F73" w:rsidRDefault="00BC160B" w:rsidP="00C10F73">
      <w:pPr>
        <w:ind w:left="567" w:firstLine="0"/>
      </w:pPr>
      <w:r w:rsidRPr="00C10F73">
        <w:t>2</w:t>
      </w:r>
      <w:r w:rsidR="000F3204" w:rsidRPr="00C10F73">
        <w:t>.</w:t>
      </w:r>
      <w:r w:rsidR="00FE70FB" w:rsidRPr="00C10F73">
        <w:t>4</w:t>
      </w:r>
      <w:r w:rsidRPr="00C10F73">
        <w:t>.</w:t>
      </w:r>
      <w:r w:rsidR="000F3204" w:rsidRPr="00C10F73">
        <w:t xml:space="preserve"> Структура номера гене</w:t>
      </w:r>
      <w:r w:rsidR="0093413B" w:rsidRPr="00C10F73">
        <w:t>рального разрешения состоит из 5</w:t>
      </w:r>
      <w:r w:rsidR="000F3204" w:rsidRPr="00C10F73">
        <w:t xml:space="preserve"> разрядов:</w:t>
      </w:r>
    </w:p>
    <w:p w:rsidR="000F3204" w:rsidRPr="00C10F73" w:rsidRDefault="000F3204" w:rsidP="00C10F73">
      <w:pPr>
        <w:ind w:left="567" w:firstLine="0"/>
      </w:pP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1422"/>
        <w:gridCol w:w="1600"/>
        <w:gridCol w:w="1600"/>
        <w:gridCol w:w="1778"/>
        <w:gridCol w:w="1181"/>
      </w:tblGrid>
      <w:tr w:rsidR="008D1520" w:rsidRPr="00C10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Номера</w:t>
            </w:r>
            <w:r w:rsidR="00C10F73">
              <w:t xml:space="preserve"> </w:t>
            </w:r>
            <w:r w:rsidRPr="00C10F73">
              <w:t>разрядов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3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5</w:t>
            </w:r>
          </w:p>
        </w:tc>
      </w:tr>
    </w:tbl>
    <w:p w:rsidR="000F3204" w:rsidRPr="00C10F73" w:rsidRDefault="000F3204" w:rsidP="00C10F73">
      <w:pPr>
        <w:ind w:left="567" w:firstLine="0"/>
      </w:pPr>
      <w:r w:rsidRPr="00C10F73">
        <w:t>где:</w:t>
      </w:r>
    </w:p>
    <w:p w:rsidR="000F3204" w:rsidRPr="00C10F73" w:rsidRDefault="000F3204" w:rsidP="00C10F73">
      <w:pPr>
        <w:ind w:left="567" w:firstLine="0"/>
      </w:pPr>
      <w:r w:rsidRPr="00C10F73">
        <w:lastRenderedPageBreak/>
        <w:t>с 1 по 3 разряды - код глав</w:t>
      </w:r>
      <w:r w:rsidR="00A329F7" w:rsidRPr="00C10F73">
        <w:t>ы главного распорядителя</w:t>
      </w:r>
      <w:r w:rsidRPr="00C10F73">
        <w:t xml:space="preserve"> в соответствии с перечнем главных рас</w:t>
      </w:r>
      <w:r w:rsidR="00A329F7" w:rsidRPr="00C10F73">
        <w:t xml:space="preserve">порядителей средств </w:t>
      </w:r>
      <w:r w:rsidR="00E800AA" w:rsidRPr="00C10F73">
        <w:t>районного</w:t>
      </w:r>
      <w:r w:rsidRPr="00C10F73">
        <w:t xml:space="preserve"> бюджета;</w:t>
      </w:r>
    </w:p>
    <w:p w:rsidR="000F3204" w:rsidRPr="00C10F73" w:rsidRDefault="008D1520" w:rsidP="00C10F73">
      <w:pPr>
        <w:ind w:left="567" w:firstLine="0"/>
      </w:pPr>
      <w:r w:rsidRPr="00C10F73">
        <w:t>с 4 по 5</w:t>
      </w:r>
      <w:r w:rsidR="000F3204" w:rsidRPr="00C10F73">
        <w:t xml:space="preserve"> разряды - порядковый номер генерального разрешения.</w:t>
      </w:r>
    </w:p>
    <w:p w:rsidR="000F3204" w:rsidRPr="00C10F73" w:rsidRDefault="000F3204" w:rsidP="00C10F73">
      <w:pPr>
        <w:ind w:left="567" w:firstLine="0"/>
      </w:pPr>
      <w:r w:rsidRPr="00C10F73">
        <w:t>Структура номера дополнения к гене</w:t>
      </w:r>
      <w:r w:rsidR="0093413B" w:rsidRPr="00C10F73">
        <w:t>ральному разрешению состоит из 7</w:t>
      </w:r>
      <w:r w:rsidRPr="00C10F73">
        <w:t xml:space="preserve"> разрядов:</w:t>
      </w:r>
    </w:p>
    <w:tbl>
      <w:tblPr>
        <w:tblW w:w="4695" w:type="pct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8"/>
        <w:gridCol w:w="1180"/>
        <w:gridCol w:w="1180"/>
        <w:gridCol w:w="1180"/>
        <w:gridCol w:w="1180"/>
        <w:gridCol w:w="1180"/>
        <w:gridCol w:w="1180"/>
        <w:gridCol w:w="583"/>
      </w:tblGrid>
      <w:tr w:rsidR="008D1520" w:rsidRPr="00C10F7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Номера</w:t>
            </w:r>
            <w:r w:rsidR="00C10F73">
              <w:t xml:space="preserve"> </w:t>
            </w:r>
            <w:r w:rsidRPr="00C10F73">
              <w:t>разрядов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520" w:rsidRPr="00C10F73" w:rsidRDefault="008D1520" w:rsidP="00C10F73">
            <w:pPr>
              <w:pStyle w:val="Table0"/>
            </w:pPr>
            <w:r w:rsidRPr="00C10F73">
              <w:t>7</w:t>
            </w:r>
          </w:p>
        </w:tc>
      </w:tr>
    </w:tbl>
    <w:p w:rsidR="000F3204" w:rsidRPr="00C10F73" w:rsidRDefault="000F3204" w:rsidP="00C10F73">
      <w:pPr>
        <w:ind w:left="567" w:firstLine="0"/>
      </w:pPr>
      <w:r w:rsidRPr="00C10F73">
        <w:t>где:</w:t>
      </w:r>
    </w:p>
    <w:p w:rsidR="000F3204" w:rsidRPr="00C10F73" w:rsidRDefault="008D1520" w:rsidP="00C10F73">
      <w:pPr>
        <w:ind w:left="567" w:firstLine="0"/>
      </w:pPr>
      <w:r w:rsidRPr="00C10F73">
        <w:t>с 1 по 5</w:t>
      </w:r>
      <w:r w:rsidR="000F3204" w:rsidRPr="00C10F73">
        <w:t xml:space="preserve"> разряды - порядковый номер генерального разрешения, к которому разработано дополнение;</w:t>
      </w:r>
    </w:p>
    <w:p w:rsidR="000F3204" w:rsidRPr="00C10F73" w:rsidRDefault="008D1520" w:rsidP="00C10F73">
      <w:pPr>
        <w:ind w:left="567" w:firstLine="0"/>
      </w:pPr>
      <w:r w:rsidRPr="00C10F73">
        <w:t>с 6 по 7</w:t>
      </w:r>
      <w:r w:rsidR="000F3204" w:rsidRPr="00C10F73">
        <w:t xml:space="preserve"> разряды - номер дополнения.</w:t>
      </w:r>
    </w:p>
    <w:p w:rsidR="000F3204" w:rsidRPr="00C10F73" w:rsidRDefault="00BC160B" w:rsidP="00C10F73">
      <w:pPr>
        <w:ind w:left="567" w:firstLine="0"/>
      </w:pPr>
      <w:r w:rsidRPr="00C10F73">
        <w:t>2</w:t>
      </w:r>
      <w:r w:rsidR="00A329F7" w:rsidRPr="00C10F73">
        <w:t>.</w:t>
      </w:r>
      <w:r w:rsidR="00FE70FB" w:rsidRPr="00C10F73">
        <w:t>5</w:t>
      </w:r>
      <w:r w:rsidRPr="00C10F73">
        <w:t>.</w:t>
      </w:r>
      <w:r w:rsidR="00FE70FB" w:rsidRPr="00C10F73">
        <w:t xml:space="preserve"> </w:t>
      </w:r>
      <w:r w:rsidR="008D1520" w:rsidRPr="00C10F73">
        <w:t xml:space="preserve">Два </w:t>
      </w:r>
      <w:r w:rsidR="00FE70FB" w:rsidRPr="00C10F73">
        <w:t>экземпляр</w:t>
      </w:r>
      <w:r w:rsidR="008D1520" w:rsidRPr="00C10F73">
        <w:t>а</w:t>
      </w:r>
      <w:r w:rsidR="00BD6208" w:rsidRPr="00C10F73">
        <w:t xml:space="preserve"> генерального разрешения выдаю</w:t>
      </w:r>
      <w:r w:rsidR="00FE70FB" w:rsidRPr="00C10F73">
        <w:t xml:space="preserve">тся главному распорядителю </w:t>
      </w:r>
      <w:r w:rsidR="00214D94" w:rsidRPr="00C10F73">
        <w:t>по</w:t>
      </w:r>
      <w:r w:rsidR="008D1520" w:rsidRPr="00C10F73">
        <w:t>д роспись в Журнале регистрации,</w:t>
      </w:r>
      <w:r w:rsidR="00DD36DF" w:rsidRPr="00C10F73">
        <w:t xml:space="preserve"> </w:t>
      </w:r>
      <w:r w:rsidR="00C74B82" w:rsidRPr="00C10F73">
        <w:t>один из которых главный</w:t>
      </w:r>
      <w:r w:rsidR="008D1520" w:rsidRPr="00C10F73">
        <w:t xml:space="preserve"> ра</w:t>
      </w:r>
      <w:r w:rsidR="00C74B82" w:rsidRPr="00C10F73">
        <w:t>спорядитель</w:t>
      </w:r>
      <w:r w:rsidR="008D1520" w:rsidRPr="00C10F73">
        <w:t xml:space="preserve"> </w:t>
      </w:r>
      <w:r w:rsidR="000F3204" w:rsidRPr="00C10F73">
        <w:t>в течение двух рабочих дней со дня</w:t>
      </w:r>
      <w:r w:rsidR="00214D94" w:rsidRPr="00C10F73">
        <w:t xml:space="preserve"> его</w:t>
      </w:r>
      <w:r w:rsidR="000F3204" w:rsidRPr="00C10F73">
        <w:t xml:space="preserve"> </w:t>
      </w:r>
      <w:r w:rsidR="008D1520" w:rsidRPr="00C10F73">
        <w:t xml:space="preserve">получения </w:t>
      </w:r>
      <w:r w:rsidR="00214D94" w:rsidRPr="00C10F73">
        <w:t xml:space="preserve">направляет в </w:t>
      </w:r>
      <w:r w:rsidR="00E800AA" w:rsidRPr="00C10F73">
        <w:t>Отделение по Промышленновскому району УФК</w:t>
      </w:r>
      <w:r w:rsidRPr="00C10F73">
        <w:t xml:space="preserve"> по Кемеровской области</w:t>
      </w:r>
      <w:r w:rsidR="000F3204" w:rsidRPr="00C10F73">
        <w:t>.</w:t>
      </w:r>
    </w:p>
    <w:p w:rsidR="00053464" w:rsidRPr="00C10F73" w:rsidRDefault="00053464" w:rsidP="00C10F73">
      <w:pPr>
        <w:ind w:left="567" w:firstLine="0"/>
      </w:pPr>
      <w:r w:rsidRPr="00C10F73">
        <w:t>Электронный вариант генерального разрешения, выданного главному распорядителю (распорядителю средств)</w:t>
      </w:r>
      <w:r w:rsidR="00C416E0" w:rsidRPr="00C10F73">
        <w:t>,</w:t>
      </w:r>
      <w:r w:rsidRPr="00C10F73">
        <w:t xml:space="preserve"> направляется в </w:t>
      </w:r>
      <w:r w:rsidR="00E800AA" w:rsidRPr="00C10F73">
        <w:t>Отделение по Промышленновскому району УФК по Кемеровской области</w:t>
      </w:r>
      <w:r w:rsidRPr="00C10F73">
        <w:t>.</w:t>
      </w:r>
    </w:p>
    <w:p w:rsidR="000F3204" w:rsidRPr="00C10F73" w:rsidRDefault="00214D94" w:rsidP="00C10F73">
      <w:pPr>
        <w:ind w:left="567" w:firstLine="0"/>
      </w:pPr>
      <w:r w:rsidRPr="00C10F73">
        <w:t>2.6</w:t>
      </w:r>
      <w:r w:rsidR="00BC160B" w:rsidRPr="00C10F73">
        <w:t>. Главные распорядители</w:t>
      </w:r>
      <w:r w:rsidR="000F3204" w:rsidRPr="00C10F73">
        <w:t xml:space="preserve"> самостоятельно доводят до распорядителей и получателей средств</w:t>
      </w:r>
      <w:r w:rsidR="00DD36DF" w:rsidRPr="00C10F73">
        <w:t xml:space="preserve"> </w:t>
      </w:r>
      <w:r w:rsidR="00643939" w:rsidRPr="00C10F73">
        <w:t>районного</w:t>
      </w:r>
      <w:r w:rsidR="00DD36DF" w:rsidRPr="00C10F73">
        <w:t xml:space="preserve"> бюджета</w:t>
      </w:r>
      <w:r w:rsidR="000F3204" w:rsidRPr="00C10F73">
        <w:t>, находящихся в их ведении, копии генеральных разрешений, вы</w:t>
      </w:r>
      <w:r w:rsidR="00DD36DF" w:rsidRPr="00C10F73">
        <w:t>данных У</w:t>
      </w:r>
      <w:r w:rsidR="00BC160B" w:rsidRPr="00C10F73">
        <w:t>правлением.</w:t>
      </w:r>
    </w:p>
    <w:p w:rsidR="000F3204" w:rsidRPr="00C10F73" w:rsidRDefault="000F3204" w:rsidP="00C10F73">
      <w:pPr>
        <w:ind w:left="567" w:firstLine="0"/>
      </w:pPr>
      <w:r w:rsidRPr="00C10F73">
        <w:t>На основании генеральных разрешений (дополнений к генеральным разрешения</w:t>
      </w:r>
      <w:r w:rsidR="00BC160B" w:rsidRPr="00C10F73">
        <w:t>м) главные распорядители</w:t>
      </w:r>
      <w:r w:rsidRPr="00C10F73">
        <w:t xml:space="preserve"> и распорядители средств оформляют и самостоятельно доводят до находящихся в их ведении получателей средств</w:t>
      </w:r>
      <w:r w:rsidR="00214D94" w:rsidRPr="00C10F73">
        <w:t xml:space="preserve"> разрешения на открытие лицевых счетов</w:t>
      </w:r>
      <w:r w:rsidRPr="00C10F73">
        <w:t xml:space="preserve"> для учета операций со средствами, полученными от приносящей доход деятельности, в </w:t>
      </w:r>
      <w:r w:rsidR="00643939" w:rsidRPr="00C10F73">
        <w:t>Отделении по Промышленновскому району УФК</w:t>
      </w:r>
      <w:r w:rsidR="008D1520" w:rsidRPr="00C10F73">
        <w:t xml:space="preserve"> по Кемеровской области </w:t>
      </w:r>
      <w:r w:rsidR="00FB62E4" w:rsidRPr="00C10F73">
        <w:t>(приложение N 4</w:t>
      </w:r>
      <w:r w:rsidRPr="00C10F73">
        <w:t>) (далее - разрешения).</w:t>
      </w:r>
    </w:p>
    <w:p w:rsidR="000F3204" w:rsidRPr="00C10F73" w:rsidRDefault="000F3204" w:rsidP="00C10F73">
      <w:pPr>
        <w:ind w:left="567" w:firstLine="0"/>
      </w:pPr>
      <w:r w:rsidRPr="00C10F73">
        <w:t>Номер разрешению присваива</w:t>
      </w:r>
      <w:r w:rsidR="00BC160B" w:rsidRPr="00C10F73">
        <w:t>ет главный распорядитель</w:t>
      </w:r>
      <w:r w:rsidRPr="00C10F73">
        <w:t xml:space="preserve"> (распорядитель средств), выдавший разрешение.</w:t>
      </w:r>
    </w:p>
    <w:p w:rsidR="000F3204" w:rsidRPr="00C10F73" w:rsidRDefault="00BC160B" w:rsidP="00C10F73">
      <w:pPr>
        <w:ind w:left="567" w:firstLine="0"/>
      </w:pPr>
      <w:r w:rsidRPr="00C10F73">
        <w:t>Главный распорядитель</w:t>
      </w:r>
      <w:r w:rsidR="000F3204" w:rsidRPr="00C10F73">
        <w:t xml:space="preserve"> (распорядитель средств) оформляет разрешение в двух экземплярах. Один экземпляр разрешения остается </w:t>
      </w:r>
      <w:r w:rsidRPr="00C10F73">
        <w:t>у главного распорядителя</w:t>
      </w:r>
      <w:r w:rsidR="000F3204" w:rsidRPr="00C10F73">
        <w:t xml:space="preserve"> (распорядителя средств), второй экземпляр направляется получателю средств по принадлежности для представления разрешения в </w:t>
      </w:r>
      <w:r w:rsidR="00643939" w:rsidRPr="00C10F73">
        <w:t>Отделение по Промышленновскому району УФК по Кемеровской области</w:t>
      </w:r>
      <w:r w:rsidR="000F3204" w:rsidRPr="00C10F73">
        <w:t xml:space="preserve"> по месту открытия лицевого счета получателя средств. Оформленные разрешения регистрируютс</w:t>
      </w:r>
      <w:r w:rsidRPr="00C10F73">
        <w:t>я главным распорядителем</w:t>
      </w:r>
      <w:r w:rsidR="000F3204" w:rsidRPr="00C10F73">
        <w:t xml:space="preserve"> (распорядителем средств) в журнале регистрации выдачи разрешений в порядке, установленно</w:t>
      </w:r>
      <w:r w:rsidRPr="00C10F73">
        <w:t>м главным распорядителем</w:t>
      </w:r>
      <w:r w:rsidR="000F3204" w:rsidRPr="00C10F73">
        <w:t xml:space="preserve"> (распорядителем средств).</w:t>
      </w:r>
    </w:p>
    <w:p w:rsidR="00574807" w:rsidRPr="00C10F73" w:rsidRDefault="008A76A4" w:rsidP="00C10F73">
      <w:pPr>
        <w:ind w:left="567" w:firstLine="0"/>
      </w:pPr>
      <w:r w:rsidRPr="00C10F73">
        <w:t xml:space="preserve">Главному </w:t>
      </w:r>
      <w:r w:rsidR="00574807" w:rsidRPr="00C10F73">
        <w:t>распоря</w:t>
      </w:r>
      <w:r w:rsidRPr="00C10F73">
        <w:t xml:space="preserve">дителю (распорядителю средств) разрешение на открытие лицевого счета по учету средств, полученных от приносящей доход деятельности в </w:t>
      </w:r>
      <w:r w:rsidR="00643939" w:rsidRPr="00C10F73">
        <w:t>Отделении по Промышленновскому району УФК по</w:t>
      </w:r>
      <w:r w:rsidR="00C10F73">
        <w:t xml:space="preserve"> </w:t>
      </w:r>
      <w:r w:rsidRPr="00C10F73">
        <w:t>Кемеровской области выдается Управлением.</w:t>
      </w:r>
    </w:p>
    <w:p w:rsidR="00214D94" w:rsidRPr="00C10F73" w:rsidRDefault="00BC160B" w:rsidP="00C10F73">
      <w:pPr>
        <w:ind w:left="567" w:firstLine="0"/>
      </w:pPr>
      <w:r w:rsidRPr="00C10F73">
        <w:t>2</w:t>
      </w:r>
      <w:r w:rsidR="000F3204" w:rsidRPr="00C10F73">
        <w:t>.</w:t>
      </w:r>
      <w:r w:rsidR="00214D94" w:rsidRPr="00C10F73">
        <w:t>7</w:t>
      </w:r>
      <w:r w:rsidRPr="00C10F73">
        <w:t>. Главные распорядители</w:t>
      </w:r>
      <w:r w:rsidR="000F3204" w:rsidRPr="00C10F73">
        <w:t xml:space="preserve"> в двадцатидневный срок со дня введения в действие законодательных актов</w:t>
      </w:r>
      <w:r w:rsidR="008D1520" w:rsidRPr="00C10F73">
        <w:t xml:space="preserve"> Российской Федерации, Кемеровской области</w:t>
      </w:r>
      <w:r w:rsidR="000F3204" w:rsidRPr="00C10F73">
        <w:t>, нормативных правовых актов Пр</w:t>
      </w:r>
      <w:r w:rsidR="008D1520" w:rsidRPr="00C10F73">
        <w:t>езидента Российской Федерации,</w:t>
      </w:r>
      <w:r w:rsidR="00C10F73">
        <w:t xml:space="preserve"> </w:t>
      </w:r>
      <w:r w:rsidR="000F3204" w:rsidRPr="00C10F73">
        <w:t xml:space="preserve">Правительства Российской Федерации, </w:t>
      </w:r>
      <w:r w:rsidR="008D1520" w:rsidRPr="00C10F73">
        <w:t xml:space="preserve">федеральных органов исполнительной власти, </w:t>
      </w:r>
      <w:r w:rsidR="000F3204" w:rsidRPr="00C10F73">
        <w:t>органов исполнительной власти</w:t>
      </w:r>
      <w:r w:rsidRPr="00C10F73">
        <w:t xml:space="preserve"> Кемеровской области</w:t>
      </w:r>
      <w:r w:rsidR="000F3204" w:rsidRPr="00C10F73">
        <w:t>,</w:t>
      </w:r>
      <w:r w:rsidR="00504EA2" w:rsidRPr="00C10F73">
        <w:t xml:space="preserve"> органов исполнительной власти местного самоуправления,</w:t>
      </w:r>
      <w:r w:rsidR="008D1520" w:rsidRPr="00C10F73">
        <w:t xml:space="preserve"> других нормативных правовых актов и</w:t>
      </w:r>
      <w:r w:rsidR="000F3204" w:rsidRPr="00C10F73">
        <w:t xml:space="preserve"> учредительных документов (уставов) получателей средств, упраздняющих или устанавливающих источники образования средств, оформляют дополнения к генерал</w:t>
      </w:r>
      <w:r w:rsidRPr="00C10F73">
        <w:t>ьным разреше</w:t>
      </w:r>
      <w:r w:rsidR="00FB62E4" w:rsidRPr="00C10F73">
        <w:t>ниям (приложение N 5</w:t>
      </w:r>
      <w:r w:rsidRPr="00C10F73">
        <w:t xml:space="preserve">). </w:t>
      </w:r>
      <w:r w:rsidR="00214D94" w:rsidRPr="00C10F73">
        <w:lastRenderedPageBreak/>
        <w:t>Порядок оформления дополнений к генеральным разрешениям, их регистрация и доведение до распорядителей и получателей средств, находящихся в ведении главных распорядителей, а также до органов Федерального казначейства аналогичен порядку оформления и доведения генеральных разрешений.</w:t>
      </w:r>
    </w:p>
    <w:p w:rsidR="000F3204" w:rsidRPr="00C10F73" w:rsidRDefault="00BC160B" w:rsidP="00C10F73">
      <w:pPr>
        <w:ind w:left="567" w:firstLine="0"/>
      </w:pPr>
      <w:r w:rsidRPr="00C10F73">
        <w:t>Главные распорядители</w:t>
      </w:r>
      <w:r w:rsidR="000F3204" w:rsidRPr="00C10F73">
        <w:t xml:space="preserve"> и распорядители средств соответственно на осно</w:t>
      </w:r>
      <w:r w:rsidR="00E81E01" w:rsidRPr="00C10F73">
        <w:t>вании генеральных разрешений и</w:t>
      </w:r>
      <w:r w:rsidR="000F3204" w:rsidRPr="00C10F73">
        <w:t xml:space="preserve"> дополнений к генеральным разрешениям оформляют получателям средств, находящимся в их ведении, дополнен</w:t>
      </w:r>
      <w:r w:rsidRPr="00C10F73">
        <w:t>ия к разрешениям (приложение N</w:t>
      </w:r>
      <w:r w:rsidR="00FB62E4" w:rsidRPr="00C10F73">
        <w:t xml:space="preserve"> 6</w:t>
      </w:r>
      <w:r w:rsidR="000F3204" w:rsidRPr="00C10F73">
        <w:t>).</w:t>
      </w:r>
    </w:p>
    <w:p w:rsidR="006E2005" w:rsidRPr="00C10F73" w:rsidRDefault="00BC160B" w:rsidP="00C10F73">
      <w:pPr>
        <w:ind w:left="567" w:firstLine="0"/>
      </w:pPr>
      <w:r w:rsidRPr="00C10F73">
        <w:t>2</w:t>
      </w:r>
      <w:r w:rsidR="000F3204" w:rsidRPr="00C10F73">
        <w:t>.</w:t>
      </w:r>
      <w:r w:rsidR="00214D94" w:rsidRPr="00C10F73">
        <w:t xml:space="preserve">8. </w:t>
      </w:r>
      <w:r w:rsidRPr="00C10F73">
        <w:t>Главные распорядители</w:t>
      </w:r>
      <w:r w:rsidR="000F3204" w:rsidRPr="00C10F73">
        <w:t xml:space="preserve"> при их реорганизации (ликвидации) после завершения реорганизационных (ликвидационных) процедур и исключени</w:t>
      </w:r>
      <w:r w:rsidRPr="00C10F73">
        <w:t>я главных распорядителей</w:t>
      </w:r>
      <w:r w:rsidR="000F3204" w:rsidRPr="00C10F73">
        <w:t xml:space="preserve"> (распорядителей средств) и получателей средств, находящихся в их ведении из Сводного реестра главных распорядителей, распорядителей и </w:t>
      </w:r>
      <w:r w:rsidR="001328E5" w:rsidRPr="00C10F73">
        <w:t xml:space="preserve">получателей средств </w:t>
      </w:r>
      <w:r w:rsidR="00504EA2" w:rsidRPr="00C10F73">
        <w:t>районного</w:t>
      </w:r>
      <w:r w:rsidR="000F3204" w:rsidRPr="00C10F73">
        <w:t xml:space="preserve"> бюджета, в течение </w:t>
      </w:r>
      <w:r w:rsidR="006E2005" w:rsidRPr="00C10F73">
        <w:t>трех</w:t>
      </w:r>
      <w:r w:rsidR="000F3204" w:rsidRPr="00C10F73">
        <w:t xml:space="preserve"> рабочих дней оформляют и представляют в </w:t>
      </w:r>
      <w:r w:rsidR="00DD36DF" w:rsidRPr="00C10F73">
        <w:t>У</w:t>
      </w:r>
      <w:r w:rsidR="001328E5" w:rsidRPr="00C10F73">
        <w:t xml:space="preserve">правление </w:t>
      </w:r>
      <w:r w:rsidR="000F3204" w:rsidRPr="00C10F73">
        <w:t>Уведомление об отзыве генерал</w:t>
      </w:r>
      <w:r w:rsidR="00FB62E4" w:rsidRPr="00C10F73">
        <w:t>ьного разрешения (приложение N 7</w:t>
      </w:r>
      <w:r w:rsidR="000F3204" w:rsidRPr="00C10F73">
        <w:t>)</w:t>
      </w:r>
      <w:r w:rsidR="006E2005" w:rsidRPr="00C10F73">
        <w:t xml:space="preserve"> в трех экземплярах.</w:t>
      </w:r>
      <w:r w:rsidR="00214D94" w:rsidRPr="00C10F73">
        <w:t xml:space="preserve"> </w:t>
      </w:r>
    </w:p>
    <w:p w:rsidR="000F3204" w:rsidRPr="00C10F73" w:rsidRDefault="000F3204" w:rsidP="00C10F73">
      <w:pPr>
        <w:ind w:left="567" w:firstLine="0"/>
      </w:pPr>
      <w:r w:rsidRPr="00C10F73">
        <w:t xml:space="preserve">Дополнения к генеральному разрешению, по которому оформлен отзыв, а также выданные на основании генерального разрешения </w:t>
      </w:r>
      <w:r w:rsidR="001328E5" w:rsidRPr="00C10F73">
        <w:t>главными распорядителями</w:t>
      </w:r>
      <w:r w:rsidRPr="00C10F73">
        <w:t>, распорядителям средств и получателям средств разрешения считаются утратившими силу с даты, указанной в уведомлении об отзыве генерального разрешения.</w:t>
      </w:r>
    </w:p>
    <w:p w:rsidR="000F3204" w:rsidRPr="00C10F73" w:rsidRDefault="000F3204" w:rsidP="00C10F73">
      <w:pPr>
        <w:ind w:left="567" w:firstLine="0"/>
      </w:pPr>
      <w:r w:rsidRPr="00C10F73">
        <w:t>Генеральные разрешения, по которым оформлены Уведомления об отзыве генерального разрешения, хранятся в соответствии с правилами организации государственного архивного дела.</w:t>
      </w:r>
    </w:p>
    <w:p w:rsidR="000F3204" w:rsidRPr="00C10F73" w:rsidRDefault="001328E5" w:rsidP="00C10F73">
      <w:pPr>
        <w:ind w:left="567" w:firstLine="0"/>
      </w:pPr>
      <w:r w:rsidRPr="00C10F73">
        <w:t>2</w:t>
      </w:r>
      <w:r w:rsidR="000F3204" w:rsidRPr="00C10F73">
        <w:t>.</w:t>
      </w:r>
      <w:r w:rsidR="00257C36" w:rsidRPr="00C10F73">
        <w:t>9</w:t>
      </w:r>
      <w:r w:rsidRPr="00C10F73">
        <w:t>.</w:t>
      </w:r>
      <w:r w:rsidR="000F3204" w:rsidRPr="00C10F73">
        <w:t xml:space="preserve"> В случае внутриведомственной реорганизации (слияния, присоединения, разделения, выделения, преобразования) или ликвидации получателя средств, находящегося в ведени</w:t>
      </w:r>
      <w:r w:rsidRPr="00C10F73">
        <w:t>и главного распорядителя</w:t>
      </w:r>
      <w:r w:rsidR="000F3204" w:rsidRPr="00C10F73">
        <w:t xml:space="preserve"> (распорядителя средств</w:t>
      </w:r>
      <w:r w:rsidRPr="00C10F73">
        <w:t>), главный распорядитель</w:t>
      </w:r>
      <w:r w:rsidR="000F3204" w:rsidRPr="00C10F73">
        <w:t xml:space="preserve"> (распорядитель средств) в десятидневный срок со дня принятия решения о реорганизации или ликвидации оформляет и </w:t>
      </w:r>
      <w:r w:rsidR="00C416E0" w:rsidRPr="00C10F73">
        <w:t>направляет</w:t>
      </w:r>
      <w:r w:rsidR="00257C36" w:rsidRPr="00C10F73">
        <w:t xml:space="preserve"> соответствующему получателю</w:t>
      </w:r>
      <w:r w:rsidR="000F3204" w:rsidRPr="00C10F73">
        <w:t xml:space="preserve"> средств письмо об отзыве ранее выданного разрешения, а также новое разрешение, оформленное взамен ранее выданного.</w:t>
      </w:r>
    </w:p>
    <w:p w:rsidR="000F3204" w:rsidRPr="00C10F73" w:rsidRDefault="000F3204" w:rsidP="00C10F73">
      <w:pPr>
        <w:ind w:left="567" w:firstLine="0"/>
      </w:pPr>
      <w:r w:rsidRPr="00C10F73">
        <w:t>Получатель средств в трехдневный срок со дня получения письма об отзыве ранее выданного разрешения обязан представить в орган Федерального казначейства по месту своего нахождения указанное письм</w:t>
      </w:r>
      <w:r w:rsidR="001328E5" w:rsidRPr="00C10F73">
        <w:t>о главного распорядителя</w:t>
      </w:r>
      <w:r w:rsidR="00C10F73">
        <w:t xml:space="preserve"> </w:t>
      </w:r>
      <w:r w:rsidRPr="00C10F73">
        <w:t>(распорядителя средств) и вновь оформленное разрешение.</w:t>
      </w:r>
    </w:p>
    <w:p w:rsidR="000F3204" w:rsidRPr="00C10F73" w:rsidRDefault="001328E5" w:rsidP="00C10F73">
      <w:pPr>
        <w:ind w:left="567" w:firstLine="0"/>
      </w:pPr>
      <w:r w:rsidRPr="00C10F73">
        <w:t>2</w:t>
      </w:r>
      <w:r w:rsidR="000F3204" w:rsidRPr="00C10F73">
        <w:t>.</w:t>
      </w:r>
      <w:r w:rsidR="00257C36" w:rsidRPr="00C10F73">
        <w:t>10</w:t>
      </w:r>
      <w:r w:rsidRPr="00C10F73">
        <w:t>.</w:t>
      </w:r>
      <w:r w:rsidR="000F3204" w:rsidRPr="00C10F73">
        <w:t xml:space="preserve"> В случае</w:t>
      </w:r>
      <w:r w:rsidR="00257C36" w:rsidRPr="00C10F73">
        <w:t xml:space="preserve"> внесения</w:t>
      </w:r>
      <w:r w:rsidR="00C10F73">
        <w:t xml:space="preserve"> </w:t>
      </w:r>
      <w:r w:rsidR="00257C36" w:rsidRPr="00C10F73">
        <w:t>изменений в наименование</w:t>
      </w:r>
      <w:r w:rsidR="00E81E01" w:rsidRPr="00C10F73">
        <w:t xml:space="preserve"> главного распорядителя</w:t>
      </w:r>
      <w:r w:rsidR="00C74B82" w:rsidRPr="00C10F73">
        <w:t xml:space="preserve">, распорядителя </w:t>
      </w:r>
      <w:r w:rsidR="00E81E01" w:rsidRPr="00C10F73">
        <w:t>и</w:t>
      </w:r>
      <w:r w:rsidR="000F3204" w:rsidRPr="00C10F73">
        <w:t xml:space="preserve"> получателя средств, </w:t>
      </w:r>
      <w:r w:rsidR="00257C36" w:rsidRPr="00C10F73">
        <w:t>либо в юридический адрес</w:t>
      </w:r>
      <w:r w:rsidR="000F3204" w:rsidRPr="00C10F73">
        <w:t>, не связанных с его реорганизацией или ликвидацие</w:t>
      </w:r>
      <w:r w:rsidRPr="00C10F73">
        <w:t xml:space="preserve">й, </w:t>
      </w:r>
      <w:r w:rsidR="00C74B82" w:rsidRPr="00C10F73">
        <w:t>оформляется</w:t>
      </w:r>
      <w:r w:rsidR="00574807" w:rsidRPr="00C10F73">
        <w:t xml:space="preserve"> новое</w:t>
      </w:r>
      <w:r w:rsidR="00C74B82" w:rsidRPr="00C10F73">
        <w:t xml:space="preserve"> </w:t>
      </w:r>
      <w:r w:rsidR="00574807" w:rsidRPr="00C10F73">
        <w:t>генеральное</w:t>
      </w:r>
      <w:r w:rsidR="00C10F73">
        <w:t xml:space="preserve"> </w:t>
      </w:r>
      <w:r w:rsidR="00574807" w:rsidRPr="00C10F73">
        <w:t>разрешение</w:t>
      </w:r>
      <w:r w:rsidR="00E81E01" w:rsidRPr="00C10F73">
        <w:t xml:space="preserve"> или </w:t>
      </w:r>
      <w:r w:rsidR="000F3204" w:rsidRPr="00C10F73">
        <w:t>разреш</w:t>
      </w:r>
      <w:r w:rsidR="00574807" w:rsidRPr="00C10F73">
        <w:t>ение с указанием нового наименования либо юридического адреса</w:t>
      </w:r>
      <w:r w:rsidR="000F3204" w:rsidRPr="00C10F73">
        <w:t>.</w:t>
      </w:r>
    </w:p>
    <w:sectPr w:rsidR="000F3204" w:rsidRPr="00C10F73" w:rsidSect="00C10F73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7A0" w:rsidRDefault="00BE47A0">
      <w:r>
        <w:separator/>
      </w:r>
    </w:p>
  </w:endnote>
  <w:endnote w:type="continuationSeparator" w:id="0">
    <w:p w:rsidR="00BE47A0" w:rsidRDefault="00BE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7A0" w:rsidRDefault="00BE47A0">
      <w:r>
        <w:separator/>
      </w:r>
    </w:p>
  </w:footnote>
  <w:footnote w:type="continuationSeparator" w:id="0">
    <w:p w:rsidR="00BE47A0" w:rsidRDefault="00BE4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5" w:rsidRDefault="00310FB5" w:rsidP="009315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0FB5" w:rsidRDefault="00310F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5" w:rsidRDefault="00310FB5" w:rsidP="009315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BA1">
      <w:rPr>
        <w:rStyle w:val="a6"/>
        <w:noProof/>
      </w:rPr>
      <w:t>4</w:t>
    </w:r>
    <w:r>
      <w:rPr>
        <w:rStyle w:val="a6"/>
      </w:rPr>
      <w:fldChar w:fldCharType="end"/>
    </w:r>
  </w:p>
  <w:p w:rsidR="00310FB5" w:rsidRDefault="00310F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3CD"/>
    <w:multiLevelType w:val="hybridMultilevel"/>
    <w:tmpl w:val="79402816"/>
    <w:lvl w:ilvl="0" w:tplc="31167C7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610716"/>
    <w:multiLevelType w:val="hybridMultilevel"/>
    <w:tmpl w:val="C4A20FC8"/>
    <w:lvl w:ilvl="0" w:tplc="EB0A7B0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0B5932"/>
    <w:multiLevelType w:val="hybridMultilevel"/>
    <w:tmpl w:val="AA54CE12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11C7A"/>
    <w:multiLevelType w:val="hybridMultilevel"/>
    <w:tmpl w:val="2B1E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3049DC"/>
    <w:multiLevelType w:val="multilevel"/>
    <w:tmpl w:val="2B1E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A15"/>
    <w:rsid w:val="00053464"/>
    <w:rsid w:val="00053D96"/>
    <w:rsid w:val="000650A3"/>
    <w:rsid w:val="00071CF6"/>
    <w:rsid w:val="000F3204"/>
    <w:rsid w:val="000F3921"/>
    <w:rsid w:val="00103986"/>
    <w:rsid w:val="001145A6"/>
    <w:rsid w:val="00114F7A"/>
    <w:rsid w:val="0011585B"/>
    <w:rsid w:val="00120A15"/>
    <w:rsid w:val="001328E5"/>
    <w:rsid w:val="001362D9"/>
    <w:rsid w:val="00143786"/>
    <w:rsid w:val="00183ECB"/>
    <w:rsid w:val="00184F3D"/>
    <w:rsid w:val="001908A8"/>
    <w:rsid w:val="001A0E38"/>
    <w:rsid w:val="001E6A34"/>
    <w:rsid w:val="00210CC9"/>
    <w:rsid w:val="00214D94"/>
    <w:rsid w:val="00223385"/>
    <w:rsid w:val="002525A4"/>
    <w:rsid w:val="00254B9B"/>
    <w:rsid w:val="002570CD"/>
    <w:rsid w:val="00257C36"/>
    <w:rsid w:val="002A4AC1"/>
    <w:rsid w:val="002B36A2"/>
    <w:rsid w:val="00303C02"/>
    <w:rsid w:val="00310FB5"/>
    <w:rsid w:val="00316550"/>
    <w:rsid w:val="00317BBB"/>
    <w:rsid w:val="00397E56"/>
    <w:rsid w:val="003E6C58"/>
    <w:rsid w:val="003F701A"/>
    <w:rsid w:val="004050A1"/>
    <w:rsid w:val="00405737"/>
    <w:rsid w:val="00427482"/>
    <w:rsid w:val="0049344F"/>
    <w:rsid w:val="004B2EB9"/>
    <w:rsid w:val="004B7B40"/>
    <w:rsid w:val="004D75AE"/>
    <w:rsid w:val="00504EA2"/>
    <w:rsid w:val="0051086D"/>
    <w:rsid w:val="00511006"/>
    <w:rsid w:val="00552EA6"/>
    <w:rsid w:val="00574807"/>
    <w:rsid w:val="00576CB6"/>
    <w:rsid w:val="005867DF"/>
    <w:rsid w:val="005A0AA0"/>
    <w:rsid w:val="0061748B"/>
    <w:rsid w:val="0063391B"/>
    <w:rsid w:val="00635156"/>
    <w:rsid w:val="00637A46"/>
    <w:rsid w:val="00640BA1"/>
    <w:rsid w:val="00643939"/>
    <w:rsid w:val="006674AE"/>
    <w:rsid w:val="006879CC"/>
    <w:rsid w:val="006A09F6"/>
    <w:rsid w:val="006E2005"/>
    <w:rsid w:val="007379C4"/>
    <w:rsid w:val="00785A52"/>
    <w:rsid w:val="00800C0C"/>
    <w:rsid w:val="008469CC"/>
    <w:rsid w:val="00863D03"/>
    <w:rsid w:val="00877A00"/>
    <w:rsid w:val="008A76A4"/>
    <w:rsid w:val="008B77A0"/>
    <w:rsid w:val="008D1520"/>
    <w:rsid w:val="009172AC"/>
    <w:rsid w:val="009315F6"/>
    <w:rsid w:val="0093413B"/>
    <w:rsid w:val="009563B2"/>
    <w:rsid w:val="00963AE1"/>
    <w:rsid w:val="00967DEE"/>
    <w:rsid w:val="009749FF"/>
    <w:rsid w:val="009A37DA"/>
    <w:rsid w:val="00A059EE"/>
    <w:rsid w:val="00A26ADF"/>
    <w:rsid w:val="00A329F7"/>
    <w:rsid w:val="00A52681"/>
    <w:rsid w:val="00A934A4"/>
    <w:rsid w:val="00AA48E2"/>
    <w:rsid w:val="00AB71B7"/>
    <w:rsid w:val="00AD2E2B"/>
    <w:rsid w:val="00AF24B6"/>
    <w:rsid w:val="00B16BDE"/>
    <w:rsid w:val="00B3439D"/>
    <w:rsid w:val="00B72430"/>
    <w:rsid w:val="00B74749"/>
    <w:rsid w:val="00B755ED"/>
    <w:rsid w:val="00B96DFF"/>
    <w:rsid w:val="00B97ED2"/>
    <w:rsid w:val="00BC160B"/>
    <w:rsid w:val="00BD6208"/>
    <w:rsid w:val="00BE47A0"/>
    <w:rsid w:val="00C10F73"/>
    <w:rsid w:val="00C317E2"/>
    <w:rsid w:val="00C416E0"/>
    <w:rsid w:val="00C45B69"/>
    <w:rsid w:val="00C526D1"/>
    <w:rsid w:val="00C74B82"/>
    <w:rsid w:val="00D44092"/>
    <w:rsid w:val="00DD36DF"/>
    <w:rsid w:val="00DE53DF"/>
    <w:rsid w:val="00E124EB"/>
    <w:rsid w:val="00E44731"/>
    <w:rsid w:val="00E56A0A"/>
    <w:rsid w:val="00E61A45"/>
    <w:rsid w:val="00E646E8"/>
    <w:rsid w:val="00E800AA"/>
    <w:rsid w:val="00E80CF6"/>
    <w:rsid w:val="00E81E01"/>
    <w:rsid w:val="00E97A95"/>
    <w:rsid w:val="00EF008D"/>
    <w:rsid w:val="00F10FB8"/>
    <w:rsid w:val="00F4614C"/>
    <w:rsid w:val="00F60218"/>
    <w:rsid w:val="00F70E0B"/>
    <w:rsid w:val="00F75376"/>
    <w:rsid w:val="00F80A35"/>
    <w:rsid w:val="00F877A4"/>
    <w:rsid w:val="00F93B74"/>
    <w:rsid w:val="00FA141F"/>
    <w:rsid w:val="00FB2702"/>
    <w:rsid w:val="00FB62E4"/>
    <w:rsid w:val="00FD2112"/>
    <w:rsid w:val="00FE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40B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0B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0B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640B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640BA1"/>
    <w:pPr>
      <w:outlineLvl w:val="3"/>
    </w:pPr>
    <w:rPr>
      <w:b/>
      <w:bCs/>
      <w:sz w:val="26"/>
      <w:szCs w:val="28"/>
    </w:rPr>
  </w:style>
  <w:style w:type="paragraph" w:styleId="7">
    <w:name w:val="heading 7"/>
    <w:basedOn w:val="a"/>
    <w:next w:val="a"/>
    <w:qFormat/>
    <w:rsid w:val="00E124E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semiHidden/>
    <w:rsid w:val="00640BA1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40BA1"/>
  </w:style>
  <w:style w:type="paragraph" w:styleId="a3">
    <w:name w:val="Body Text"/>
    <w:basedOn w:val="a"/>
    <w:rsid w:val="00E124EB"/>
    <w:rPr>
      <w:sz w:val="28"/>
      <w:szCs w:val="20"/>
    </w:rPr>
  </w:style>
  <w:style w:type="paragraph" w:styleId="a4">
    <w:name w:val="Normal Indent"/>
    <w:basedOn w:val="a"/>
    <w:rsid w:val="00E124EB"/>
    <w:pPr>
      <w:ind w:left="708"/>
    </w:pPr>
    <w:rPr>
      <w:sz w:val="20"/>
      <w:szCs w:val="20"/>
    </w:rPr>
  </w:style>
  <w:style w:type="paragraph" w:customStyle="1" w:styleId="ConsPlusTitle">
    <w:name w:val="ConsPlusTitle"/>
    <w:rsid w:val="00405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AA48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48E2"/>
  </w:style>
  <w:style w:type="paragraph" w:styleId="a7">
    <w:name w:val="header"/>
    <w:basedOn w:val="a"/>
    <w:rsid w:val="00AA48E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F32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640B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640BA1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640B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40BA1"/>
    <w:rPr>
      <w:color w:val="0000FF"/>
      <w:u w:val="none"/>
    </w:rPr>
  </w:style>
  <w:style w:type="paragraph" w:customStyle="1" w:styleId="Application">
    <w:name w:val="Application!Приложение"/>
    <w:rsid w:val="00640B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0B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0B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40B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40B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vt:lpstr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проводимой  реформой органов местного самоуправления и изменением наименований, полномочий  территориальных финансовых органов Главного финансового управления Кемеровской области, руководствуясь п</dc:title>
  <dc:subject/>
  <dc:creator>Юрист</dc:creator>
  <cp:keywords/>
  <dc:description/>
  <cp:lastModifiedBy>Юрист</cp:lastModifiedBy>
  <cp:revision>1</cp:revision>
  <cp:lastPrinted>2008-03-28T11:34:00Z</cp:lastPrinted>
  <dcterms:created xsi:type="dcterms:W3CDTF">2017-10-31T07:38:00Z</dcterms:created>
  <dcterms:modified xsi:type="dcterms:W3CDTF">2017-10-31T07:38:00Z</dcterms:modified>
</cp:coreProperties>
</file>