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F27CE9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F27CE9">
              <w:rPr>
                <w:sz w:val="24"/>
                <w:szCs w:val="24"/>
              </w:rPr>
              <w:t>24</w:t>
            </w:r>
            <w:r w:rsidRPr="00141ACF">
              <w:rPr>
                <w:sz w:val="24"/>
                <w:szCs w:val="24"/>
              </w:rPr>
              <w:t>.0</w:t>
            </w:r>
            <w:r w:rsidR="00E261C0">
              <w:rPr>
                <w:sz w:val="24"/>
                <w:szCs w:val="24"/>
              </w:rPr>
              <w:t>5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E261C0">
              <w:rPr>
                <w:sz w:val="24"/>
                <w:szCs w:val="24"/>
              </w:rPr>
              <w:t>5</w:t>
            </w:r>
            <w:r w:rsidR="00F27CE9">
              <w:rPr>
                <w:sz w:val="24"/>
                <w:szCs w:val="24"/>
              </w:rPr>
              <w:t>6</w:t>
            </w:r>
            <w:r w:rsidR="00E261C0">
              <w:rPr>
                <w:sz w:val="24"/>
                <w:szCs w:val="24"/>
              </w:rPr>
              <w:t>8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F27CE9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5035CF">
              <w:t>0116001</w:t>
            </w:r>
            <w:r w:rsidRPr="00141ACF">
              <w:t>:</w:t>
            </w:r>
            <w:r w:rsidR="00F27CE9">
              <w:t>269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F27CE9" w:rsidP="00F27CE9">
            <w:pPr>
              <w:jc w:val="both"/>
            </w:pPr>
            <w:r>
              <w:t xml:space="preserve">10 000 </w:t>
            </w:r>
            <w:r w:rsidR="0001706E" w:rsidRPr="00141ACF">
              <w:t xml:space="preserve">+/- </w:t>
            </w:r>
            <w:r>
              <w:t>35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F27CE9" w:rsidRPr="00F27CE9" w:rsidRDefault="00A94B0E" w:rsidP="00F27CE9">
            <w:pPr>
              <w:jc w:val="both"/>
            </w:pPr>
            <w:hyperlink r:id="rId6" w:tgtFrame="_blank" w:history="1">
              <w:r w:rsidR="00F27CE9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пгт. Промышленная, </w:t>
              </w:r>
              <w:r w:rsidR="00F27CE9">
                <w:rPr>
                  <w:rStyle w:val="a4"/>
                  <w:color w:val="auto"/>
                  <w:u w:val="none"/>
                </w:rPr>
                <w:t xml:space="preserve">           </w:t>
              </w:r>
              <w:r w:rsidR="00F27CE9" w:rsidRPr="00F27CE9">
                <w:rPr>
                  <w:rStyle w:val="a4"/>
                  <w:color w:val="auto"/>
                  <w:u w:val="none"/>
                </w:rPr>
                <w:t>ул. Северная, 8г</w:t>
              </w:r>
            </w:hyperlink>
          </w:p>
          <w:p w:rsidR="001B5D0C" w:rsidRPr="00F27CE9" w:rsidRDefault="001B5D0C" w:rsidP="00F27CE9">
            <w:pPr>
              <w:jc w:val="both"/>
            </w:pP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F27CE9">
            <w:pPr>
              <w:jc w:val="both"/>
            </w:pPr>
            <w:r>
              <w:t xml:space="preserve">Земли </w:t>
            </w:r>
            <w:r w:rsidR="00F27CE9">
              <w:t>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F27CE9" w:rsidP="00F27CE9">
            <w:pPr>
              <w:jc w:val="both"/>
            </w:pPr>
            <w:r>
              <w:t>Строительная промышленность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</w:t>
            </w:r>
            <w:r w:rsidR="00F27CE9">
              <w:t>0</w:t>
            </w:r>
            <w:r w:rsidRPr="00141ACF">
              <w:t>.0</w:t>
            </w:r>
            <w:r w:rsidR="00D365A2">
              <w:t>5</w:t>
            </w:r>
            <w:r w:rsidRPr="00141ACF">
              <w:t>.202</w:t>
            </w:r>
            <w:r w:rsidR="00D365A2">
              <w:t>4</w:t>
            </w:r>
            <w:r w:rsidRPr="00141ACF">
              <w:t xml:space="preserve"> № </w:t>
            </w:r>
            <w:r w:rsidR="00D365A2">
              <w:t>37</w:t>
            </w:r>
            <w:r w:rsidR="00F27CE9">
              <w:t>0</w:t>
            </w:r>
            <w:r w:rsidRPr="00141ACF">
              <w:t>:</w:t>
            </w:r>
          </w:p>
          <w:p w:rsidR="00D62CF9" w:rsidRDefault="00D62CF9" w:rsidP="00F27CE9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F27CE9">
              <w:t xml:space="preserve">Российская Федерация, </w:t>
            </w:r>
            <w:r w:rsidR="00D365A2" w:rsidRPr="00141ACF">
              <w:t>Кемеровская область</w:t>
            </w:r>
            <w:r w:rsidR="00F27CE9">
              <w:t xml:space="preserve"> - Кузбасс</w:t>
            </w:r>
            <w:r w:rsidR="00D365A2">
              <w:t xml:space="preserve">, </w:t>
            </w:r>
            <w:r w:rsidR="00D365A2" w:rsidRPr="00141ACF">
              <w:t xml:space="preserve">Промышленновский </w:t>
            </w:r>
            <w:r w:rsidR="00F27CE9">
              <w:t xml:space="preserve">муниципальный округ,  </w:t>
            </w:r>
            <w:proofErr w:type="spellStart"/>
            <w:r w:rsidR="00D365A2">
              <w:t>пгт</w:t>
            </w:r>
            <w:proofErr w:type="gramStart"/>
            <w:r w:rsidR="00D365A2">
              <w:t>.П</w:t>
            </w:r>
            <w:proofErr w:type="gramEnd"/>
            <w:r w:rsidR="00D365A2">
              <w:t>ромышленная</w:t>
            </w:r>
            <w:proofErr w:type="spellEnd"/>
            <w:r w:rsidR="00D365A2">
              <w:t xml:space="preserve">, ул. </w:t>
            </w:r>
            <w:r w:rsidR="00F27CE9">
              <w:t>Северная, 8г (</w:t>
            </w:r>
            <w:r w:rsidRPr="00141ACF">
              <w:t>кадастровый номер 42:11:01</w:t>
            </w:r>
            <w:r>
              <w:t>1</w:t>
            </w:r>
            <w:r w:rsidR="00D365A2">
              <w:t>6001</w:t>
            </w:r>
            <w:r w:rsidRPr="00141ACF">
              <w:t>:</w:t>
            </w:r>
            <w:r w:rsidR="00F27CE9">
              <w:t>269</w:t>
            </w:r>
            <w:r w:rsidRPr="00141ACF">
              <w:t>);</w:t>
            </w:r>
          </w:p>
          <w:p w:rsidR="00D62CF9" w:rsidRDefault="00D62CF9" w:rsidP="00D365A2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D365A2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- водоснабжения – </w:t>
            </w:r>
            <w:r w:rsidR="003C3D37">
              <w:t xml:space="preserve">есть </w:t>
            </w:r>
            <w:r w:rsidR="00D365A2" w:rsidRPr="00141ACF">
              <w:t>возможно</w:t>
            </w:r>
            <w:r w:rsidR="003C3D37">
              <w:t>сть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 w:rsidR="003C3D37">
              <w:t>. Возможен альтернативный вариант, предусмотреть герметичный септик;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D365A2">
            <w:pPr>
              <w:jc w:val="both"/>
            </w:pPr>
            <w:r>
              <w:t xml:space="preserve">4. </w:t>
            </w:r>
            <w:r w:rsidRPr="00141ACF">
              <w:t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Федеральному закон</w:t>
            </w:r>
            <w:r w:rsidR="00D465D5">
              <w:t>у</w:t>
            </w:r>
            <w:r>
              <w:t xml:space="preserve">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D365A2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D365A2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D365A2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параметры разрешенного строительства, </w:t>
            </w:r>
            <w:r w:rsidRPr="00141ACF">
              <w:lastRenderedPageBreak/>
              <w:t>реконструкции объектов 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proofErr w:type="gramStart"/>
            <w:r w:rsidR="003C3D37">
              <w:t>ПР</w:t>
            </w:r>
            <w:proofErr w:type="gramEnd"/>
            <w:r w:rsidR="003C3D37">
              <w:t xml:space="preserve"> 4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3C3D37">
              <w:rPr>
                <w:bCs/>
              </w:rPr>
              <w:t xml:space="preserve">для размещения производственно-коммунальных объектов </w:t>
            </w:r>
            <w:r w:rsidR="003C3D37">
              <w:rPr>
                <w:bCs/>
                <w:lang w:val="en-US"/>
              </w:rPr>
              <w:t>IV</w:t>
            </w:r>
            <w:r w:rsidR="003C3D37" w:rsidRPr="003C3D37">
              <w:rPr>
                <w:bCs/>
              </w:rPr>
              <w:t xml:space="preserve"> </w:t>
            </w:r>
            <w:r w:rsidR="003C3D37">
              <w:rPr>
                <w:bCs/>
              </w:rPr>
              <w:t>класса вредности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lastRenderedPageBreak/>
              <w:t>Предельные размеры земельных участков, в том числе их площадь: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минимальные </w:t>
            </w:r>
            <w:r w:rsidR="0098512A">
              <w:t xml:space="preserve">400 </w:t>
            </w:r>
            <w:r w:rsidRPr="00141ACF">
              <w:t>кв.м.,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максимальные </w:t>
            </w:r>
            <w:r w:rsidR="0098512A">
              <w:t xml:space="preserve">10 </w:t>
            </w:r>
            <w:r>
              <w:t>000</w:t>
            </w:r>
            <w:r w:rsidRPr="00141ACF">
              <w:t xml:space="preserve"> кв.м.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 w:rsidR="0098512A">
              <w:t>8</w:t>
            </w:r>
            <w:r w:rsidRPr="00141ACF">
              <w:t>.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CA0B1E">
              <w:t xml:space="preserve">30 </w:t>
            </w:r>
            <w:r w:rsidR="007B27FC">
              <w:t>метр</w:t>
            </w:r>
            <w:r w:rsidR="00CA0B1E">
              <w:t>ов</w:t>
            </w:r>
            <w:r w:rsidRPr="00141ACF">
              <w:t xml:space="preserve">. </w:t>
            </w:r>
          </w:p>
          <w:p w:rsidR="00D62CF9" w:rsidRPr="00325B89" w:rsidRDefault="00D62CF9" w:rsidP="00CA0B1E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B27FC">
              <w:t xml:space="preserve">- </w:t>
            </w:r>
            <w:r w:rsidR="00CA0B1E">
              <w:t>100</w:t>
            </w:r>
            <w:r>
              <w:t xml:space="preserve">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</w:t>
            </w:r>
            <w:r w:rsidR="008A2B3E">
              <w:rPr>
                <w:sz w:val="24"/>
                <w:szCs w:val="24"/>
              </w:rPr>
              <w:t>96 200</w:t>
            </w:r>
          </w:p>
          <w:p w:rsidR="00D62CF9" w:rsidRPr="00141ACF" w:rsidRDefault="00D62CF9" w:rsidP="008A2B3E">
            <w:pPr>
              <w:pStyle w:val="ConsPlusNormal"/>
              <w:ind w:left="-284" w:right="-425" w:firstLine="284"/>
              <w:jc w:val="both"/>
            </w:pPr>
            <w:r w:rsidRPr="00CB1551">
              <w:rPr>
                <w:sz w:val="24"/>
                <w:szCs w:val="24"/>
              </w:rPr>
              <w:t>(</w:t>
            </w:r>
            <w:r w:rsidR="008A2B3E">
              <w:rPr>
                <w:sz w:val="24"/>
                <w:szCs w:val="24"/>
              </w:rPr>
              <w:t xml:space="preserve">девяносто шесть тысяч двести) </w:t>
            </w:r>
            <w:r w:rsidRPr="00CB1551">
              <w:rPr>
                <w:sz w:val="24"/>
                <w:szCs w:val="24"/>
              </w:rPr>
              <w:t>рублей</w:t>
            </w:r>
            <w:r w:rsidR="008A2B3E">
              <w:rPr>
                <w:sz w:val="24"/>
                <w:szCs w:val="24"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4667CC" w:rsidP="004667CC">
            <w:pPr>
              <w:jc w:val="both"/>
            </w:pPr>
            <w:r>
              <w:t xml:space="preserve">2 886 </w:t>
            </w:r>
            <w:r w:rsidR="00D62CF9" w:rsidRPr="00CB1551">
              <w:t>(</w:t>
            </w:r>
            <w:r>
              <w:t xml:space="preserve">две </w:t>
            </w:r>
            <w:r w:rsidR="00D62CF9">
              <w:t>тысяч</w:t>
            </w:r>
            <w:r>
              <w:t>и восемьсот восемьдесят шесть</w:t>
            </w:r>
            <w:r w:rsidR="00993F8A">
              <w:t xml:space="preserve">) </w:t>
            </w:r>
            <w:r w:rsidR="00D62CF9" w:rsidRPr="00CB1551">
              <w:t>рубл</w:t>
            </w:r>
            <w:r w:rsidR="00D62CF9">
              <w:t>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4667CC" w:rsidP="004667CC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96 200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девяносто шесть тысяч двести) </w:t>
            </w:r>
            <w:r w:rsidRPr="00CB1551">
              <w:rPr>
                <w:sz w:val="24"/>
                <w:szCs w:val="24"/>
              </w:rPr>
              <w:t>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993F8A" w:rsidP="00EC315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лет </w:t>
            </w:r>
            <w:r w:rsidR="00EC3156">
              <w:rPr>
                <w:sz w:val="22"/>
                <w:szCs w:val="22"/>
              </w:rPr>
              <w:t xml:space="preserve">8 </w:t>
            </w:r>
            <w:r w:rsidR="00D62CF9">
              <w:rPr>
                <w:sz w:val="22"/>
                <w:szCs w:val="22"/>
              </w:rPr>
              <w:t>месяцев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46058E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574AF1">
              <w:rPr>
                <w:b/>
              </w:rPr>
              <w:t>1</w:t>
            </w:r>
            <w:r w:rsidR="003415B9">
              <w:rPr>
                <w:b/>
              </w:rPr>
              <w:t>5</w:t>
            </w:r>
            <w:r w:rsidRPr="00141ACF">
              <w:rPr>
                <w:b/>
              </w:rPr>
              <w:t>.0</w:t>
            </w:r>
            <w:r w:rsidR="00EC3156">
              <w:rPr>
                <w:b/>
              </w:rPr>
              <w:t>6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3415B9">
              <w:rPr>
                <w:b/>
              </w:rPr>
              <w:t>16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до </w:t>
            </w:r>
            <w:r>
              <w:rPr>
                <w:b/>
              </w:rPr>
              <w:t>17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574AF1" w:rsidP="004605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415B9">
              <w:rPr>
                <w:b/>
              </w:rPr>
              <w:t>7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C21A72">
              <w:rPr>
                <w:b/>
              </w:rPr>
              <w:t>4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46058E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21A72">
              <w:rPr>
                <w:b/>
                <w:sz w:val="22"/>
                <w:szCs w:val="22"/>
              </w:rPr>
              <w:t>1</w:t>
            </w:r>
            <w:r w:rsidR="003415B9">
              <w:rPr>
                <w:b/>
                <w:sz w:val="22"/>
                <w:szCs w:val="22"/>
              </w:rPr>
              <w:t>6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A94B0E" w:rsidP="00EE59EC">
            <w:pPr>
              <w:jc w:val="both"/>
              <w:rPr>
                <w:sz w:val="22"/>
                <w:szCs w:val="22"/>
              </w:rPr>
            </w:pPr>
            <w:hyperlink r:id="rId7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9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A94B0E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A94B0E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A94B0E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10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D62CF9" w:rsidP="0046058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15B9">
              <w:rPr>
                <w:b/>
                <w:sz w:val="22"/>
                <w:szCs w:val="22"/>
              </w:rPr>
              <w:t>8</w:t>
            </w:r>
            <w:r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10</w:t>
            </w:r>
            <w:r w:rsidRPr="00C43EBE">
              <w:rPr>
                <w:b/>
                <w:sz w:val="22"/>
                <w:szCs w:val="22"/>
              </w:rPr>
              <w:t xml:space="preserve"> ч. 00 мин.</w:t>
            </w:r>
            <w:r w:rsidRPr="00C95EC3">
              <w:rPr>
                <w:sz w:val="22"/>
                <w:szCs w:val="22"/>
              </w:rPr>
              <w:t xml:space="preserve"> </w:t>
            </w:r>
            <w:r w:rsidRPr="00463FB0">
              <w:rPr>
                <w:b/>
                <w:sz w:val="22"/>
                <w:szCs w:val="22"/>
              </w:rPr>
              <w:t>(п</w:t>
            </w:r>
            <w:r w:rsidRPr="00F31128">
              <w:rPr>
                <w:b/>
                <w:sz w:val="22"/>
                <w:szCs w:val="22"/>
              </w:rPr>
              <w:t>о местному времени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</w:t>
      </w:r>
      <w:r w:rsidRPr="00FC02A7">
        <w:rPr>
          <w:sz w:val="22"/>
          <w:szCs w:val="22"/>
        </w:rPr>
        <w:lastRenderedPageBreak/>
        <w:t xml:space="preserve">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1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F6D69"/>
    <w:rsid w:val="00316A77"/>
    <w:rsid w:val="00325B89"/>
    <w:rsid w:val="003269BC"/>
    <w:rsid w:val="0033310C"/>
    <w:rsid w:val="003415B9"/>
    <w:rsid w:val="003504A4"/>
    <w:rsid w:val="0035145E"/>
    <w:rsid w:val="00371119"/>
    <w:rsid w:val="003A4170"/>
    <w:rsid w:val="003B71FB"/>
    <w:rsid w:val="003C3D37"/>
    <w:rsid w:val="00405155"/>
    <w:rsid w:val="0046058E"/>
    <w:rsid w:val="00463FB0"/>
    <w:rsid w:val="004667CC"/>
    <w:rsid w:val="004D5B43"/>
    <w:rsid w:val="004E5DDC"/>
    <w:rsid w:val="004E6F33"/>
    <w:rsid w:val="004F1500"/>
    <w:rsid w:val="00502D0F"/>
    <w:rsid w:val="005035CF"/>
    <w:rsid w:val="00574AF1"/>
    <w:rsid w:val="005B48F8"/>
    <w:rsid w:val="005B7FB3"/>
    <w:rsid w:val="005E710A"/>
    <w:rsid w:val="005F123D"/>
    <w:rsid w:val="00692984"/>
    <w:rsid w:val="00692F36"/>
    <w:rsid w:val="006F708C"/>
    <w:rsid w:val="00714D3A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A2B3E"/>
    <w:rsid w:val="008B001E"/>
    <w:rsid w:val="008C5B79"/>
    <w:rsid w:val="008D4B1A"/>
    <w:rsid w:val="008E5BC5"/>
    <w:rsid w:val="0091674D"/>
    <w:rsid w:val="009850F5"/>
    <w:rsid w:val="0098512A"/>
    <w:rsid w:val="00993F8A"/>
    <w:rsid w:val="009C0182"/>
    <w:rsid w:val="009C67FE"/>
    <w:rsid w:val="009D57E8"/>
    <w:rsid w:val="00A0687F"/>
    <w:rsid w:val="00A40368"/>
    <w:rsid w:val="00A449B6"/>
    <w:rsid w:val="00A94B0E"/>
    <w:rsid w:val="00AA1500"/>
    <w:rsid w:val="00AB4F67"/>
    <w:rsid w:val="00B06E22"/>
    <w:rsid w:val="00B10CCB"/>
    <w:rsid w:val="00B20468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A0B1E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C2A12"/>
    <w:rsid w:val="00DE6FAE"/>
    <w:rsid w:val="00E261C0"/>
    <w:rsid w:val="00E37E08"/>
    <w:rsid w:val="00E75119"/>
    <w:rsid w:val="00E850D3"/>
    <w:rsid w:val="00EB7370"/>
    <w:rsid w:val="00EC3156"/>
    <w:rsid w:val="00EC58E5"/>
    <w:rsid w:val="00EE59EC"/>
    <w:rsid w:val="00EE7BF8"/>
    <w:rsid w:val="00F27CE9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_pro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2:11:0116001:269" TargetMode="External"/><Relationship Id="rId11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latform-rules/platform-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47FE-B794-4C45-8B94-4ADC3762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29</cp:revision>
  <cp:lastPrinted>2023-07-04T02:11:00Z</cp:lastPrinted>
  <dcterms:created xsi:type="dcterms:W3CDTF">2023-09-21T03:43:00Z</dcterms:created>
  <dcterms:modified xsi:type="dcterms:W3CDTF">2024-06-14T08:03:00Z</dcterms:modified>
</cp:coreProperties>
</file>