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280" w:line="240" w:lineRule="auto"/>
        <w:ind/>
        <w:jc w:val="center"/>
        <w:rPr>
          <w:rFonts w:ascii="Arimo" w:hAnsi="Arimo"/>
          <w:b w:val="1"/>
          <w:color w:val="000000"/>
          <w:sz w:val="48"/>
        </w:rPr>
      </w:pPr>
      <w:r>
        <w:rPr>
          <w:rFonts w:ascii="Arimo" w:hAnsi="Arimo"/>
          <w:b w:val="1"/>
          <w:color w:val="000000"/>
          <w:sz w:val="48"/>
        </w:rPr>
        <w:t>Как отличить честные МФО от мошенников</w:t>
      </w:r>
    </w:p>
    <w:p w14:paraId="02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срочно нужны деньги, а взять их негде, можно обратиться в </w:t>
      </w:r>
      <w:r>
        <w:rPr>
          <w:rFonts w:ascii="Arimo" w:hAnsi="Arimo"/>
          <w:color w:val="000000"/>
          <w:sz w:val="28"/>
          <w:u w:val="single"/>
        </w:rPr>
        <w:fldChar w:fldCharType="begin"/>
      </w:r>
      <w:r>
        <w:rPr>
          <w:rFonts w:ascii="Arimo" w:hAnsi="Arimo"/>
          <w:color w:val="000000"/>
          <w:sz w:val="28"/>
          <w:u w:val="single"/>
        </w:rPr>
        <w:instrText>HYPERLINK "https://fincult.info/article/mikrozaem/"</w:instrText>
      </w:r>
      <w:r>
        <w:rPr>
          <w:rFonts w:ascii="Arimo" w:hAnsi="Arimo"/>
          <w:color w:val="000000"/>
          <w:sz w:val="28"/>
          <w:u w:val="single"/>
        </w:rPr>
        <w:fldChar w:fldCharType="separate"/>
      </w:r>
      <w:r>
        <w:rPr>
          <w:rFonts w:ascii="Arimo" w:hAnsi="Arimo"/>
          <w:color w:val="000000"/>
          <w:sz w:val="28"/>
          <w:u w:val="single"/>
        </w:rPr>
        <w:t>микрофинансовую организацию</w:t>
      </w:r>
      <w:r>
        <w:rPr>
          <w:rFonts w:ascii="Arimo" w:hAnsi="Arimo"/>
          <w:color w:val="000000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 (МФО). Но будьте осторожны: под вывеской МФО могут скрываться мошенники. Рассказываем, чем опасны нелегальные организации и как от них защититься.</w:t>
      </w:r>
    </w:p>
    <w:p w14:paraId="03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drawing>
          <wp:inline>
            <wp:extent cx="5762151" cy="268975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762151" cy="26897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280" w:before="280" w:line="240" w:lineRule="auto"/>
        <w:ind/>
        <w:jc w:val="center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Почему рискованно обращаться к нелегалам?</w:t>
      </w:r>
    </w:p>
    <w:p w14:paraId="05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Брать взаймы у мошенников так же опасно, как и доверять им свои деньги.</w:t>
      </w:r>
    </w:p>
    <w:p w14:paraId="06000000">
      <w:pPr>
        <w:numPr>
          <w:ilvl w:val="0"/>
          <w:numId w:val="1"/>
        </w:numPr>
        <w:spacing w:after="0" w:before="280" w:line="240" w:lineRule="auto"/>
        <w:ind w:hanging="360" w:left="720"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Преступникам выгодно загнать вас в долговую яму.</w:t>
      </w:r>
      <w:r>
        <w:rPr>
          <w:rFonts w:ascii="Arimo" w:hAnsi="Arimo"/>
          <w:color w:val="000000"/>
          <w:sz w:val="28"/>
        </w:rPr>
        <w:br/>
      </w:r>
      <w:r>
        <w:rPr>
          <w:rFonts w:ascii="Arimo" w:hAnsi="Arimo"/>
          <w:color w:val="000000"/>
          <w:sz w:val="28"/>
        </w:rPr>
        <w:t>По закону МФО не могут безгранично начислять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"https://fincult.info/article/mikrozaem/"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проценты, штрафы и пени по микрозаймам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. Даже если просрочить выплаты, ваш долг легальной МФО не может превысить размер займа более чем в 1,3 раза. Когда размер долга достигает этого предела, МФО обязана прекратить начислять проценты, штрафы и пени. Мошенники же не ограничивают себя — нередко долг увеличивается в десятки раз. Известны случаи, когда у должников отбирали квартиры в счет погашения изначально небольшого займа.</w:t>
      </w:r>
    </w:p>
    <w:p w14:paraId="07000000">
      <w:pPr>
        <w:numPr>
          <w:ilvl w:val="0"/>
          <w:numId w:val="1"/>
        </w:numPr>
        <w:spacing w:after="0" w:before="0" w:line="240" w:lineRule="auto"/>
        <w:ind w:hanging="360" w:left="720"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У вас могут выбивать долг в прямом смысле слова.</w:t>
      </w:r>
      <w:r>
        <w:rPr>
          <w:rFonts w:ascii="Arimo" w:hAnsi="Arimo"/>
          <w:color w:val="000000"/>
          <w:sz w:val="28"/>
        </w:rPr>
        <w:br/>
      </w:r>
      <w:r>
        <w:rPr>
          <w:rFonts w:ascii="Arimo" w:hAnsi="Arimo"/>
          <w:color w:val="000000"/>
          <w:sz w:val="28"/>
        </w:rPr>
        <w:t>Закон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"http://www.consultant.ru/document/cons_doc_LAW_155986/2345e06b12096996f563ee6757a0128f54b7729e/"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запрещает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 черным кредиторам требовать возврата долгов, даже через суд. Но тем не менее они передают долги нелегальным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"https://fincult.info/article/kollektory-kak-s-nimi-obshchatsya/"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коллекторам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 или сами используют угрозы, психологическое давление и даже физическое насилие.</w:t>
      </w:r>
    </w:p>
    <w:p w14:paraId="08000000">
      <w:pPr>
        <w:numPr>
          <w:ilvl w:val="0"/>
          <w:numId w:val="1"/>
        </w:numPr>
        <w:spacing w:after="0" w:before="0" w:line="240" w:lineRule="auto"/>
        <w:ind w:hanging="360" w:left="720"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Ваши персональные данные окажутся под угрозой.</w:t>
      </w:r>
      <w:r>
        <w:rPr>
          <w:rFonts w:ascii="Arimo" w:hAnsi="Arimo"/>
          <w:color w:val="000000"/>
          <w:sz w:val="28"/>
        </w:rPr>
        <w:br/>
      </w:r>
      <w:r>
        <w:rPr>
          <w:rFonts w:ascii="Arimo" w:hAnsi="Arimo"/>
          <w:color w:val="000000"/>
          <w:sz w:val="28"/>
        </w:rPr>
        <w:t>Нелегалы не упустят шанса воспользоваться данными вашего паспорта, банковского счета или карты, которые вы им предоставили при оформлении займа. Например, они могут оформить другие кредиты на ваше имя.</w:t>
      </w:r>
    </w:p>
    <w:p w14:paraId="09000000">
      <w:pPr>
        <w:numPr>
          <w:ilvl w:val="0"/>
          <w:numId w:val="1"/>
        </w:numPr>
        <w:spacing w:after="280" w:before="0" w:line="240" w:lineRule="auto"/>
        <w:ind w:hanging="360" w:left="720"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Вы потеряете вложенные деньги.</w:t>
      </w:r>
      <w:r>
        <w:rPr>
          <w:rFonts w:ascii="Arimo" w:hAnsi="Arimo"/>
          <w:color w:val="000000"/>
          <w:sz w:val="28"/>
        </w:rPr>
        <w:br/>
      </w:r>
      <w:r>
        <w:rPr>
          <w:rFonts w:ascii="Arimo" w:hAnsi="Arimo"/>
          <w:color w:val="000000"/>
          <w:sz w:val="28"/>
        </w:rPr>
        <w:t>Некоторые МФО имеют право не только выдавать займы, но и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"https://fincult.info/article/mikrofinansovye-organizatsii-chem-otlichayutsya-mkk-ot-mfk/"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привлекать деньги частных лиц и компаний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. Но если под МФО маскировались мошенники, например организаторы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"https://fincult.info/article/vy-stali-zhertvoy-finansovoy-piramidy/"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финансовой пирамиды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, вам придется распрощаться со своими вложениями.</w:t>
      </w:r>
    </w:p>
    <w:p w14:paraId="0A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Прежде чем заключить договор с МФО, нужно убедиться, что вы имеете дело с легальной и честной компанией.</w:t>
      </w:r>
    </w:p>
    <w:p w14:paraId="0B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Правило № 1. Проверьте, входит ли организация в государственный реестр МФО</w:t>
      </w:r>
    </w:p>
    <w:p w14:paraId="0C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Профессиональный кредитор должен быть включен в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"http://www.cbr.ru/fmp_check/"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список легальных финансовых организаций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. Если компании нет в государственном реестре МФО, это мошенники, которые маскируются под МФО.</w:t>
      </w:r>
    </w:p>
    <w:p w14:paraId="0D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Прежде чем зайти на сайт микрофинансовой организации, убедитесь, что он промаркирован синим кружочком с галочкой в поисковых системах «Яндекс» и Mail.ru. Если галочки нет, возможно, сайт просто не успел получить маркировку. Но скорее всего, это сайт нелегалов — на него лучше не заходить.</w:t>
      </w:r>
    </w:p>
    <w:p w14:paraId="0E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drawing>
          <wp:inline>
            <wp:extent cx="5791741" cy="2347239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791741" cy="23472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Правило № 2. Выясните, в какую саморегулируемую организацию входит МФО</w:t>
      </w:r>
    </w:p>
    <w:p w14:paraId="10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МФО обязана быть участником одной из саморегулируемых организаций (СРО). Сейчас их две: Союз «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"https://alliance-mfo.ru/"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Микрофинансовый альянс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» и СРО «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"http://www.npmir.ru/"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МиР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». Саморегулируемые организации устанавливают профессиональные стандарты и контролируют работу своих участников. На сайте каждой СРО есть список МФО, которые в нее входят.</w:t>
      </w:r>
    </w:p>
    <w:p w14:paraId="11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вы не можете найти МФО ни в одной из СРО, это тревожный знак. Возможно, ее исключили из саморегулируемой организации за нарушения стандартов — с такой МФО лучше не связываться.</w:t>
      </w:r>
    </w:p>
    <w:p w14:paraId="12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Иногда добросовестная МФО может недолгое время отсутствовать в списке участников СРО, если она в этот момент переходит из одной СРО в другую. Но на такой переход есть 90 дней. Если МФО за этот срок не вступит в СРО, ее исключат из государственного реестра МФО.</w:t>
      </w:r>
    </w:p>
    <w:p w14:paraId="13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drawing>
          <wp:inline>
            <wp:extent cx="5709091" cy="2664986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709091" cy="26649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4000000">
      <w:pPr>
        <w:spacing w:after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Правило № 3. Внимательно изучите документы, прежде чем их подписать</w:t>
      </w:r>
    </w:p>
    <w:p w14:paraId="15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Даже если вы имеете дело с МФО, которая значится в государственном реестре и состоит в СРО, бдительность не помешает. Своей подписью в документах вы подтверждаете, что полностью согласны с условиями, которые предлагает вам компания. Не спешите подписывать бумаги, если вам ясны не все пункты.</w:t>
      </w:r>
    </w:p>
    <w:p w14:paraId="16000000">
      <w:pPr>
        <w:spacing w:after="0" w:line="240" w:lineRule="auto"/>
        <w:ind/>
        <w:jc w:val="both"/>
        <w:rPr>
          <w:rFonts w:ascii="Arimo" w:hAnsi="Arimo"/>
          <w:i w:val="1"/>
          <w:color w:val="000000"/>
          <w:sz w:val="28"/>
        </w:rPr>
      </w:pPr>
      <w:r>
        <w:rPr>
          <w:rFonts w:ascii="Arimo" w:hAnsi="Arimo"/>
          <w:i w:val="1"/>
          <w:color w:val="000000"/>
          <w:sz w:val="28"/>
        </w:rPr>
        <w:t>По </w:t>
      </w:r>
      <w:r>
        <w:rPr>
          <w:rFonts w:ascii="Arimo" w:hAnsi="Arimo"/>
          <w:i w:val="1"/>
          <w:color w:val="1070A7"/>
          <w:sz w:val="28"/>
          <w:u w:val="single"/>
        </w:rPr>
        <w:fldChar w:fldCharType="begin"/>
      </w:r>
      <w:r>
        <w:rPr>
          <w:rFonts w:ascii="Arimo" w:hAnsi="Arimo"/>
          <w:i w:val="1"/>
          <w:color w:val="1070A7"/>
          <w:sz w:val="28"/>
          <w:u w:val="single"/>
        </w:rPr>
        <w:instrText>HYPERLINK "http://www.consultant.ru/document/cons_doc_LAW_155986/5bf96f6f9c3054d6934e4fa63a9dac27e0b56b53/"</w:instrText>
      </w:r>
      <w:r>
        <w:rPr>
          <w:rFonts w:ascii="Arimo" w:hAnsi="Arimo"/>
          <w:i w:val="1"/>
          <w:color w:val="1070A7"/>
          <w:sz w:val="28"/>
          <w:u w:val="single"/>
        </w:rPr>
        <w:fldChar w:fldCharType="separate"/>
      </w:r>
      <w:r>
        <w:rPr>
          <w:rFonts w:ascii="Arimo" w:hAnsi="Arimo"/>
          <w:i w:val="1"/>
          <w:color w:val="1070A7"/>
          <w:sz w:val="28"/>
          <w:u w:val="single"/>
        </w:rPr>
        <w:t>закону</w:t>
      </w:r>
      <w:r>
        <w:rPr>
          <w:rFonts w:ascii="Arimo" w:hAnsi="Arimo"/>
          <w:i w:val="1"/>
          <w:color w:val="1070A7"/>
          <w:sz w:val="28"/>
          <w:u w:val="single"/>
        </w:rPr>
        <w:fldChar w:fldCharType="end"/>
      </w:r>
      <w:r>
        <w:rPr>
          <w:rFonts w:ascii="Arimo" w:hAnsi="Arimo"/>
          <w:i w:val="1"/>
          <w:color w:val="000000"/>
          <w:sz w:val="28"/>
        </w:rPr>
        <w:t> вы имеете право взять пять дней на раздумье и изучение документов. За это время условия договора для вас не могут измениться.</w:t>
      </w:r>
    </w:p>
    <w:p w14:paraId="17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Особое внимание обратите на следующие детали:</w:t>
      </w:r>
    </w:p>
    <w:p w14:paraId="18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1.Какие документы вам предлагают подписать</w:t>
      </w:r>
    </w:p>
    <w:p w14:paraId="19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вы берете деньги в долг, это может быть только договор потребительского или ипотечного займа и договор залога. Причем МФО вправе выдавать займы только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"http://www.consultant.ru/document/cons_doc_LAW_102112/0737ab7747fb785b896dc6c0ca20a9d2731aae7a/"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под залог нежилой недвижимости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, получить деньги под залог квартиры не выйдет.</w:t>
      </w:r>
    </w:p>
    <w:p w14:paraId="1A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Ни в коем случае не подписывайте соглашения и договоры, которые разрешают продажу заложенного имущества без решения суда: договор отступного, купли-продажи или дарения. Иначе компания получит право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"https://fincult.info/news/kak-vzyat-zaem-v-mfo-i-ne-ostatsya-bez-kvartiry/"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продать вашу собственность без вашего ведома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 в случае просрочки выплат, даже небольшой.</w:t>
      </w:r>
    </w:p>
    <w:p w14:paraId="1B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вы решили вложить деньги в МФО, это должен быть договор займа (организация занимает у вас деньги).</w:t>
      </w:r>
    </w:p>
    <w:p w14:paraId="1C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2.Верно ли указаны реквизиты МФО</w:t>
      </w:r>
    </w:p>
    <w:p w14:paraId="1D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Обязательно сверьте данные в договоре и в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"https://www.cbr.ru/registries/microfinance/#a_14199"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реестре МФО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: полное и сокращенное наименования, ОГРН, ИНН, адрес. Мошенники нередко копируют сайты известных МФО и используют похожие названия, логотипы, шрифты. Сверка реквизитов в договоре позволит избежать ловушки.</w:t>
      </w:r>
    </w:p>
    <w:p w14:paraId="1E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3.Какие условия вам предлагают</w:t>
      </w:r>
    </w:p>
    <w:p w14:paraId="1F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вы собираетесь взять микрозаем, на первой странице договора в правом верхнем углу в квадратных рамках должна быть указана </w:t>
      </w:r>
      <w:r>
        <w:rPr>
          <w:rFonts w:ascii="Arimo" w:hAnsi="Arimo"/>
          <w:b w:val="1"/>
          <w:color w:val="000000"/>
          <w:sz w:val="28"/>
        </w:rPr>
        <w:t>полная стоимость займа</w:t>
      </w:r>
      <w:r>
        <w:rPr>
          <w:rFonts w:ascii="Arimo" w:hAnsi="Arimo"/>
          <w:color w:val="000000"/>
          <w:sz w:val="28"/>
        </w:rPr>
        <w:t> в процентах и в рублях.</w:t>
      </w:r>
    </w:p>
    <w:p w14:paraId="20000000">
      <w:pPr>
        <w:spacing w:after="0" w:line="240" w:lineRule="auto"/>
        <w:ind/>
        <w:jc w:val="both"/>
        <w:rPr>
          <w:rFonts w:ascii="Arimo" w:hAnsi="Arimo"/>
          <w:i w:val="1"/>
          <w:color w:val="000000"/>
          <w:sz w:val="28"/>
        </w:rPr>
      </w:pPr>
      <w:r>
        <w:rPr>
          <w:rFonts w:ascii="Arimo" w:hAnsi="Arimo"/>
          <w:i w:val="1"/>
          <w:color w:val="000000"/>
          <w:sz w:val="28"/>
        </w:rPr>
        <w:t>По закону </w:t>
      </w:r>
      <w:r>
        <w:rPr>
          <w:rFonts w:ascii="Arimo" w:hAnsi="Arimo"/>
          <w:i w:val="1"/>
          <w:color w:val="1070A7"/>
          <w:sz w:val="28"/>
          <w:u w:val="single"/>
        </w:rPr>
        <w:fldChar w:fldCharType="begin"/>
      </w:r>
      <w:r>
        <w:rPr>
          <w:rFonts w:ascii="Arimo" w:hAnsi="Arimo"/>
          <w:i w:val="1"/>
          <w:color w:val="1070A7"/>
          <w:sz w:val="28"/>
          <w:u w:val="single"/>
        </w:rPr>
        <w:instrText>HYPERLINK "https://fincult.info/article/mikrozaem/"</w:instrText>
      </w:r>
      <w:r>
        <w:rPr>
          <w:rFonts w:ascii="Arimo" w:hAnsi="Arimo"/>
          <w:i w:val="1"/>
          <w:color w:val="1070A7"/>
          <w:sz w:val="28"/>
          <w:u w:val="single"/>
        </w:rPr>
        <w:fldChar w:fldCharType="separate"/>
      </w:r>
      <w:r>
        <w:rPr>
          <w:rFonts w:ascii="Arimo" w:hAnsi="Arimo"/>
          <w:i w:val="1"/>
          <w:color w:val="1070A7"/>
          <w:sz w:val="28"/>
          <w:u w:val="single"/>
        </w:rPr>
        <w:t>максимальная ставка</w:t>
      </w:r>
      <w:r>
        <w:rPr>
          <w:rFonts w:ascii="Arimo" w:hAnsi="Arimo"/>
          <w:i w:val="1"/>
          <w:color w:val="1070A7"/>
          <w:sz w:val="28"/>
          <w:u w:val="single"/>
        </w:rPr>
        <w:fldChar w:fldCharType="end"/>
      </w:r>
      <w:r>
        <w:rPr>
          <w:rFonts w:ascii="Arimo" w:hAnsi="Arimo"/>
          <w:i w:val="1"/>
          <w:color w:val="000000"/>
          <w:sz w:val="28"/>
        </w:rPr>
        <w:t> по краткосрочному микрозайму (до 1 года) — 0,8% в день. То есть за 30 дней набежит до 24%, а за 90 дней — 72%.</w:t>
      </w:r>
    </w:p>
    <w:p w14:paraId="21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вы хотите инвестировать сбережения в МФО, в договоре должна быть указана </w:t>
      </w:r>
      <w:r>
        <w:rPr>
          <w:rFonts w:ascii="Arimo" w:hAnsi="Arimo"/>
          <w:b w:val="1"/>
          <w:color w:val="000000"/>
          <w:sz w:val="28"/>
        </w:rPr>
        <w:t>доходность инвестиций</w:t>
      </w:r>
      <w:r>
        <w:rPr>
          <w:rFonts w:ascii="Arimo" w:hAnsi="Arimo"/>
          <w:color w:val="000000"/>
          <w:sz w:val="28"/>
        </w:rPr>
        <w:t>: в процентах годовых или в рублях. Также там должно быть прописано, когда вам вернут вложенную сумму и выплатят проценты.</w:t>
      </w:r>
    </w:p>
    <w:p w14:paraId="22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bookmarkStart w:id="1" w:name="_gjdgxs"/>
      <w:bookmarkEnd w:id="1"/>
      <w:r>
        <w:rPr>
          <w:rFonts w:ascii="Arimo" w:hAnsi="Arimo"/>
          <w:color w:val="000000"/>
          <w:sz w:val="28"/>
        </w:rPr>
        <w:drawing>
          <wp:inline>
            <wp:extent cx="5728892" cy="2374507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728892" cy="23745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pPr>
        <w:spacing w:after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Правило № 4. Не верьте громким обещаниям</w:t>
      </w:r>
    </w:p>
    <w:p w14:paraId="24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Стоит насторожиться, если в рекламе МФО вы видите что-то подобное:</w:t>
      </w:r>
    </w:p>
    <w:p w14:paraId="25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«Откройте вклад под выгодный процент»</w:t>
      </w:r>
    </w:p>
    <w:p w14:paraId="26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Открывать вклады могут только банки. Ни МФО, ни какие-либо другие финансовые организации не имеют права предлагать эту услугу. Если вы с таким столкнулись, вас пытаются обмануть.</w:t>
      </w:r>
    </w:p>
    <w:p w14:paraId="27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«Инвестируйте и занимайте любые суммы»</w:t>
      </w:r>
    </w:p>
    <w:p w14:paraId="28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Размер займов в МФО ограничен. Человек может получить в одной организации не больше 1 млн рублей, если МФО является микрофинансовой компанией (МФК), и не больше 500 000 рублей, если МФО работает как микрокредитная компания (МКК), индивидуальный предприниматель или юридическое лицо — максимум 5 млн рублей.</w:t>
      </w:r>
    </w:p>
    <w:p w14:paraId="29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Размер вложений в МФО также ограничен. Инвестиции не могут быть ниже 1,5 млн рублей. Причем вкладывать деньги разрешено только в один вид МФО — микрофинансовые компании (МФК). Если МФО предлагает вам обойти эти ограничения, она нарушает закон.</w:t>
      </w:r>
    </w:p>
    <w:p w14:paraId="2A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«Все вложения застрахованы!»</w:t>
      </w:r>
    </w:p>
    <w:p w14:paraId="2B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Инвестиции в МФО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"https://fincult.info/article/sistema-strakhovaniya-vkladov/"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не застрахованы государством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. Если вас убеждают в обратном, это обман.</w:t>
      </w:r>
    </w:p>
    <w:p w14:paraId="2C000000">
      <w:pPr>
        <w:spacing w:after="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 xml:space="preserve">Чаще всего речь идет о совсем другой страховке. МФО может застраховать свое имущество или ответственность своих руководителей — но не ваши деньги. Если компания обанкротится, скорее всего, вы не сможете полностью вернуть свои вложения. </w:t>
      </w:r>
    </w:p>
    <w:p w14:paraId="2D000000">
      <w:pPr>
        <w:spacing w:after="280" w:before="280" w:line="240" w:lineRule="auto"/>
        <w:ind/>
        <w:jc w:val="both"/>
        <w:rPr>
          <w:rFonts w:ascii="Arimo" w:hAnsi="Arimo"/>
          <w:b w:val="1"/>
          <w:color w:val="000000"/>
          <w:sz w:val="28"/>
        </w:rPr>
      </w:pPr>
      <w:r>
        <w:rPr>
          <w:rFonts w:ascii="Arimo" w:hAnsi="Arimo"/>
          <w:b w:val="1"/>
          <w:color w:val="000000"/>
          <w:sz w:val="28"/>
        </w:rPr>
        <w:t>Куда жаловаться на мошенников?</w:t>
      </w:r>
    </w:p>
    <w:p w14:paraId="2E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Когда вы столкнулись с мошенниками, которые выдают себя за МФО, стоит сообщить об этом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"https://www.cbr.ru/Reception/Message/Register?messageType=Complaint"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в Банк России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. Приложите скриншоты мошеннического сайта или фотографии вывески на улице. Регулятор сможет заблокировать этот сайт, а также собрать и передать информацию о мошенниках в прокуратуру.</w:t>
      </w:r>
    </w:p>
    <w:p w14:paraId="2F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 вы уже успели оформить заем или передать деньги обманщикам, обращайтесь в полицию. Перед этим соберите как можно больше документов и информации: договоры, которые вы заключили, квитанции на денежные переводы.</w:t>
      </w:r>
    </w:p>
    <w:p w14:paraId="30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Не замалчивайте случаи, когда вам встречаются мошенники. Преступникам выгодно ваше бездействие. Чем раньше вы сообщите о них в полицию, тем быстрее их смогут поймать.</w:t>
      </w:r>
    </w:p>
    <w:p w14:paraId="31000000">
      <w:pPr>
        <w:spacing w:after="280" w:line="240" w:lineRule="auto"/>
        <w:ind/>
        <w:jc w:val="both"/>
        <w:rPr>
          <w:rFonts w:ascii="Arimo" w:hAnsi="Arimo"/>
          <w:color w:val="000000"/>
          <w:sz w:val="28"/>
        </w:rPr>
      </w:pPr>
      <w:r>
        <w:rPr>
          <w:rFonts w:ascii="Arimo" w:hAnsi="Arimo"/>
          <w:color w:val="000000"/>
          <w:sz w:val="28"/>
        </w:rPr>
        <w:t>Если же вы подписали договор с настоящей МФО, а она начала нарушать закон и правила, – обращайтесь </w:t>
      </w:r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"https://www.cbr.ru/Reception/"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в Банк России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color w:val="000000"/>
          <w:sz w:val="28"/>
        </w:rPr>
        <w:t> и в саморегулируемую организацию, в которую входит эта МФО. За недочеты МФО могут оштрафовать, а за грубые нарушения — исключить из СРО и из государственного реестра МФО.</w:t>
      </w:r>
    </w:p>
    <w:p w14:paraId="32000000">
      <w:pPr>
        <w:ind/>
        <w:jc w:val="both"/>
        <w:rPr>
          <w:rFonts w:ascii="Arimo" w:hAnsi="Arimo"/>
          <w:sz w:val="28"/>
        </w:rPr>
      </w:pPr>
    </w:p>
    <w:sectPr>
      <w:pgSz w:h="16838" w:orient="portrait" w:w="11906"/>
      <w:pgMar w:bottom="1134" w:footer="708" w:header="708" w:left="1701" w:right="850" w:top="1134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●"/>
      <w:lvlJc w:val="left"/>
      <w:pPr>
        <w:ind w:hanging="360" w:left="720"/>
      </w:pPr>
      <w:rPr>
        <w:rFonts w:ascii="Noto Sans Symbols" w:hAnsi="Noto Sans Symbols"/>
        <w:sz w:val="20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▪"/>
      <w:lvlJc w:val="left"/>
      <w:pPr>
        <w:ind w:hanging="360" w:left="2160"/>
      </w:pPr>
      <w:rPr>
        <w:rFonts w:ascii="Noto Sans Symbols" w:hAnsi="Noto Sans Symbols"/>
        <w:sz w:val="20"/>
      </w:rPr>
    </w:lvl>
    <w:lvl w:ilvl="3">
      <w:start w:val="1"/>
      <w:numFmt w:val="bullet"/>
      <w:lvlText w:val="▪"/>
      <w:lvlJc w:val="left"/>
      <w:pPr>
        <w:ind w:hanging="360" w:left="2880"/>
      </w:pPr>
      <w:rPr>
        <w:rFonts w:ascii="Noto Sans Symbols" w:hAnsi="Noto Sans Symbols"/>
        <w:sz w:val="20"/>
      </w:rPr>
    </w:lvl>
    <w:lvl w:ilvl="4">
      <w:start w:val="1"/>
      <w:numFmt w:val="bullet"/>
      <w:lvlText w:val="▪"/>
      <w:lvlJc w:val="left"/>
      <w:pPr>
        <w:ind w:hanging="360" w:left="3600"/>
      </w:pPr>
      <w:rPr>
        <w:rFonts w:ascii="Noto Sans Symbols" w:hAnsi="Noto Sans Symbols"/>
        <w:sz w:val="20"/>
      </w:rPr>
    </w:lvl>
    <w:lvl w:ilvl="5">
      <w:start w:val="1"/>
      <w:numFmt w:val="bullet"/>
      <w:lvlText w:val="▪"/>
      <w:lvlJc w:val="left"/>
      <w:pPr>
        <w:ind w:hanging="360" w:left="4320"/>
      </w:pPr>
      <w:rPr>
        <w:rFonts w:ascii="Noto Sans Symbols" w:hAnsi="Noto Sans Symbols"/>
        <w:sz w:val="20"/>
      </w:rPr>
    </w:lvl>
    <w:lvl w:ilvl="6">
      <w:start w:val="1"/>
      <w:numFmt w:val="bullet"/>
      <w:lvlText w:val="▪"/>
      <w:lvlJc w:val="left"/>
      <w:pPr>
        <w:ind w:hanging="360" w:left="5040"/>
      </w:pPr>
      <w:rPr>
        <w:rFonts w:ascii="Noto Sans Symbols" w:hAnsi="Noto Sans Symbols"/>
        <w:sz w:val="20"/>
      </w:rPr>
    </w:lvl>
    <w:lvl w:ilvl="7">
      <w:start w:val="1"/>
      <w:numFmt w:val="bullet"/>
      <w:lvlText w:val="▪"/>
      <w:lvlJc w:val="left"/>
      <w:pPr>
        <w:ind w:hanging="360" w:left="5760"/>
      </w:pPr>
      <w:rPr>
        <w:rFonts w:ascii="Noto Sans Symbols" w:hAnsi="Noto Sans Symbols"/>
        <w:sz w:val="20"/>
      </w:rPr>
    </w:lvl>
    <w:lvl w:ilvl="8">
      <w:start w:val="1"/>
      <w:numFmt w:val="bullet"/>
      <w:lvlText w:val="▪"/>
      <w:lvlJc w:val="left"/>
      <w:pPr>
        <w:ind w:hanging="360" w:left="6480"/>
      </w:pPr>
      <w:rPr>
        <w:rFonts w:ascii="Noto Sans Symbols" w:hAnsi="Noto Sans Symbols"/>
        <w:sz w:val="20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basedOn w:val="Style_1"/>
    <w:next w:val="Style_1"/>
    <w:link w:val="Style_7_ch"/>
    <w:uiPriority w:val="9"/>
    <w:qFormat/>
    <w:pPr>
      <w:keepNext w:val="1"/>
      <w:keepLines w:val="1"/>
      <w:spacing w:after="0" w:before="40"/>
      <w:ind/>
      <w:outlineLvl w:val="2"/>
    </w:pPr>
    <w:rPr>
      <w:rFonts w:ascii="Calibri" w:hAnsi="Calibri"/>
      <w:color w:val="1E4D78"/>
      <w:sz w:val="24"/>
    </w:rPr>
  </w:style>
  <w:style w:styleId="Style_7_ch" w:type="character">
    <w:name w:val="heading 3"/>
    <w:basedOn w:val="Style_1_ch"/>
    <w:link w:val="Style_7"/>
    <w:rPr>
      <w:rFonts w:ascii="Calibri" w:hAnsi="Calibri"/>
      <w:color w:val="1E4D78"/>
      <w:sz w:val="24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basedOn w:val="Style_1"/>
    <w:next w:val="Style_1"/>
    <w:link w:val="Style_9_ch"/>
    <w:uiPriority w:val="9"/>
    <w:qFormat/>
    <w:pPr>
      <w:keepNext w:val="1"/>
      <w:keepLines w:val="1"/>
      <w:spacing w:after="40" w:before="220"/>
      <w:ind/>
      <w:outlineLvl w:val="4"/>
    </w:pPr>
    <w:rPr>
      <w:b w:val="1"/>
      <w:sz w:val="22"/>
    </w:rPr>
  </w:style>
  <w:style w:styleId="Style_9_ch" w:type="character">
    <w:name w:val="heading 5"/>
    <w:basedOn w:val="Style_1_ch"/>
    <w:link w:val="Style_9"/>
    <w:rPr>
      <w:b w:val="1"/>
      <w:sz w:val="22"/>
    </w:rPr>
  </w:style>
  <w:style w:styleId="Style_10" w:type="paragraph">
    <w:name w:val="heading 1"/>
    <w:basedOn w:val="Style_1"/>
    <w:next w:val="Style_1"/>
    <w:link w:val="Style_10_ch"/>
    <w:uiPriority w:val="9"/>
    <w:qFormat/>
    <w:pPr>
      <w:keepNext w:val="1"/>
      <w:keepLines w:val="1"/>
      <w:spacing w:after="120" w:before="120" w:line="240" w:lineRule="auto"/>
      <w:ind/>
      <w:outlineLvl w:val="0"/>
    </w:pPr>
    <w:rPr>
      <w:rFonts w:ascii="Arial" w:hAnsi="Arial"/>
      <w:color w:val="2E75B5"/>
      <w:sz w:val="32"/>
    </w:rPr>
  </w:style>
  <w:style w:styleId="Style_10_ch" w:type="character">
    <w:name w:val="heading 1"/>
    <w:basedOn w:val="Style_1_ch"/>
    <w:link w:val="Style_10"/>
    <w:rPr>
      <w:rFonts w:ascii="Arial" w:hAnsi="Arial"/>
      <w:color w:val="2E75B5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basedOn w:val="Style_1"/>
    <w:next w:val="Style_1"/>
    <w:link w:val="Style_18_ch"/>
    <w:uiPriority w:val="11"/>
    <w:qFormat/>
    <w:pPr>
      <w:keepNext w:val="1"/>
      <w:keepLines w:val="1"/>
      <w:spacing w:after="80" w:before="360"/>
      <w:ind/>
    </w:pPr>
    <w:rPr>
      <w:rFonts w:ascii="Georgia" w:hAnsi="Georgia"/>
      <w:i w:val="1"/>
      <w:color w:val="666666"/>
      <w:sz w:val="48"/>
    </w:rPr>
  </w:style>
  <w:style w:styleId="Style_18_ch" w:type="character">
    <w:name w:val="Subtitle"/>
    <w:basedOn w:val="Style_1_ch"/>
    <w:link w:val="Style_18"/>
    <w:rPr>
      <w:rFonts w:ascii="Georgia" w:hAnsi="Georgia"/>
      <w:i w:val="1"/>
      <w:color w:val="666666"/>
      <w:sz w:val="48"/>
    </w:rPr>
  </w:style>
  <w:style w:styleId="Style_19" w:type="paragraph">
    <w:name w:val="Title"/>
    <w:basedOn w:val="Style_1"/>
    <w:next w:val="Style_1"/>
    <w:link w:val="Style_19_ch"/>
    <w:uiPriority w:val="10"/>
    <w:qFormat/>
    <w:pPr>
      <w:keepNext w:val="1"/>
      <w:keepLines w:val="1"/>
      <w:spacing w:after="120" w:before="480"/>
      <w:ind/>
    </w:pPr>
    <w:rPr>
      <w:b w:val="1"/>
      <w:sz w:val="72"/>
    </w:rPr>
  </w:style>
  <w:style w:styleId="Style_19_ch" w:type="character">
    <w:name w:val="Title"/>
    <w:basedOn w:val="Style_1_ch"/>
    <w:link w:val="Style_19"/>
    <w:rPr>
      <w:b w:val="1"/>
      <w:sz w:val="72"/>
    </w:rPr>
  </w:style>
  <w:style w:styleId="Style_20" w:type="paragraph">
    <w:name w:val="heading 4"/>
    <w:basedOn w:val="Style_1"/>
    <w:next w:val="Style_1"/>
    <w:link w:val="Style_20_ch"/>
    <w:uiPriority w:val="9"/>
    <w:qFormat/>
    <w:pPr>
      <w:keepNext w:val="1"/>
      <w:keepLines w:val="1"/>
      <w:spacing w:after="40" w:before="240"/>
      <w:ind/>
      <w:outlineLvl w:val="3"/>
    </w:pPr>
    <w:rPr>
      <w:b w:val="1"/>
      <w:sz w:val="24"/>
    </w:rPr>
  </w:style>
  <w:style w:styleId="Style_20_ch" w:type="character">
    <w:name w:val="heading 4"/>
    <w:basedOn w:val="Style_1_ch"/>
    <w:link w:val="Style_20"/>
    <w:rPr>
      <w:b w:val="1"/>
      <w:sz w:val="24"/>
    </w:rPr>
  </w:style>
  <w:style w:styleId="Style_21" w:type="paragraph">
    <w:name w:val="heading 2"/>
    <w:basedOn w:val="Style_1"/>
    <w:next w:val="Style_1"/>
    <w:link w:val="Style_21_ch"/>
    <w:uiPriority w:val="9"/>
    <w:qFormat/>
    <w:pPr>
      <w:keepNext w:val="1"/>
      <w:keepLines w:val="1"/>
      <w:spacing w:after="0" w:before="40"/>
      <w:ind/>
      <w:outlineLvl w:val="1"/>
    </w:pPr>
    <w:rPr>
      <w:rFonts w:ascii="Calibri" w:hAnsi="Calibri"/>
      <w:color w:val="2E75B5"/>
      <w:sz w:val="26"/>
    </w:rPr>
  </w:style>
  <w:style w:styleId="Style_21_ch" w:type="character">
    <w:name w:val="heading 2"/>
    <w:basedOn w:val="Style_1_ch"/>
    <w:link w:val="Style_21"/>
    <w:rPr>
      <w:rFonts w:ascii="Calibri" w:hAnsi="Calibri"/>
      <w:color w:val="2E75B5"/>
      <w:sz w:val="26"/>
    </w:rPr>
  </w:style>
  <w:style w:styleId="Style_22" w:type="paragraph">
    <w:name w:val="heading 6"/>
    <w:basedOn w:val="Style_1"/>
    <w:next w:val="Style_1"/>
    <w:link w:val="Style_22_ch"/>
    <w:uiPriority w:val="9"/>
    <w:qFormat/>
    <w:pPr>
      <w:keepNext w:val="1"/>
      <w:keepLines w:val="1"/>
      <w:spacing w:after="40" w:before="200"/>
      <w:ind/>
      <w:outlineLvl w:val="5"/>
    </w:pPr>
    <w:rPr>
      <w:b w:val="1"/>
      <w:sz w:val="20"/>
    </w:rPr>
  </w:style>
  <w:style w:styleId="Style_22_ch" w:type="character">
    <w:name w:val="heading 6"/>
    <w:basedOn w:val="Style_1_ch"/>
    <w:link w:val="Style_22"/>
    <w:rPr>
      <w:b w:val="1"/>
      <w:sz w:val="20"/>
    </w:rPr>
  </w:style>
  <w:style w:default="1" w:styleId="Style_23" w:type="table">
    <w:name w:val="Table Normal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media/1.png" Type="http://schemas.openxmlformats.org/officeDocument/2006/relationships/image"/>
  <Relationship Id="rId10" Target="theme/theme1.xml" Type="http://schemas.openxmlformats.org/officeDocument/2006/relationships/them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11" Target="numbering.xml" Type="http://schemas.openxmlformats.org/officeDocument/2006/relationships/numbering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MyOffice-CoreFramework-Linux/33-1224.848.9400.852.1@a485da99dcc738e8c7d147737040082c6b3f9fe8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2024-11-08T07:21:51Z</dcterms:modified>
</cp:coreProperties>
</file>