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pStyle w:val="Style_3"/>
        <w:rPr>
          <w:sz w:val="32"/>
        </w:rPr>
      </w:pPr>
      <w:r>
        <w:rPr>
          <w:sz w:val="32"/>
        </w:rPr>
        <w:t>КЕМЕРОВСКАЯ ОБЛАСТЬ</w:t>
      </w:r>
    </w:p>
    <w:p w14:paraId="0A000000">
      <w:pPr>
        <w:pStyle w:val="Style_3"/>
        <w:rPr>
          <w:sz w:val="32"/>
        </w:rPr>
      </w:pPr>
      <w:r>
        <w:rPr>
          <w:sz w:val="32"/>
        </w:rPr>
        <w:t xml:space="preserve">АДМИНИСТРАЦИЯ </w:t>
      </w:r>
    </w:p>
    <w:p w14:paraId="0B000000">
      <w:pPr>
        <w:pStyle w:val="Style_3"/>
        <w:ind w:firstLine="0"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C000000">
      <w:pPr>
        <w:pStyle w:val="Style_4"/>
        <w:spacing w:before="360"/>
        <w:ind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14:paraId="0D000000">
      <w:pPr>
        <w:spacing w:before="480"/>
        <w:ind/>
        <w:jc w:val="center"/>
        <w:rPr>
          <w:sz w:val="28"/>
          <w:u w:val="single"/>
        </w:rPr>
      </w:pPr>
      <w:r>
        <w:t xml:space="preserve">       от</w:t>
      </w:r>
      <w:r>
        <w:rPr>
          <w:sz w:val="28"/>
        </w:rPr>
        <w:t xml:space="preserve"> </w:t>
      </w:r>
      <w:r>
        <w:rPr>
          <w:sz w:val="28"/>
          <w:u w:val="single"/>
        </w:rPr>
        <w:t>«10»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   декабря    </w:t>
      </w:r>
      <w:r>
        <w:t>г</w:t>
      </w:r>
      <w:r>
        <w:t>.</w:t>
      </w:r>
      <w:r>
        <w:rPr>
          <w:sz w:val="28"/>
        </w:rPr>
        <w:t xml:space="preserve"> </w:t>
      </w:r>
      <w:r>
        <w:t>№</w:t>
      </w:r>
      <w:r>
        <w:rPr>
          <w:sz w:val="28"/>
          <w:u w:val="single"/>
        </w:rPr>
        <w:t>1253-П</w:t>
      </w:r>
    </w:p>
    <w:p w14:paraId="0E000000">
      <w:pPr>
        <w:spacing w:before="120"/>
        <w:ind/>
        <w:jc w:val="center"/>
        <w:rPr>
          <w:sz w:val="28"/>
        </w:rPr>
      </w:pPr>
      <w:r>
        <w:t>пгт. Промышленная</w:t>
      </w:r>
    </w:p>
    <w:p w14:paraId="0F000000">
      <w:pPr>
        <w:ind/>
        <w:jc w:val="center"/>
        <w:rPr>
          <w:b w:val="1"/>
          <w:sz w:val="18"/>
        </w:rPr>
      </w:pPr>
    </w:p>
    <w:p w14:paraId="10000000">
      <w:pPr>
        <w:ind/>
        <w:jc w:val="center"/>
        <w:rPr>
          <w:b w:val="1"/>
          <w:sz w:val="1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перечня мест, определенных для</w:t>
      </w:r>
      <w:r>
        <w:rPr>
          <w:b w:val="1"/>
          <w:sz w:val="28"/>
        </w:rPr>
        <w:t xml:space="preserve"> запуска пиротехнических изделий бытового назначения I - III классов по степени потенциальной опасности на территории Промышленновского муниципального округа</w:t>
      </w:r>
    </w:p>
    <w:p w14:paraId="12000000">
      <w:pPr>
        <w:pStyle w:val="Style_5"/>
        <w:tabs>
          <w:tab w:leader="none" w:pos="567" w:val="left"/>
        </w:tabs>
        <w:ind/>
        <w:jc w:val="center"/>
        <w:rPr>
          <w:sz w:val="28"/>
        </w:rPr>
      </w:pPr>
    </w:p>
    <w:p w14:paraId="13000000">
      <w:pPr>
        <w:pStyle w:val="Style_6"/>
        <w:widowControl w:val="1"/>
        <w:ind w:firstLine="709" w:left="0"/>
        <w:jc w:val="both"/>
        <w:rPr>
          <w:sz w:val="28"/>
        </w:rPr>
      </w:pPr>
      <w:r>
        <w:rPr>
          <w:b w:val="0"/>
          <w:sz w:val="28"/>
        </w:rPr>
        <w:t>В соответствии с Федеральным законом от 06.10.2003 №</w:t>
      </w:r>
      <w:r>
        <w:rPr>
          <w:b w:val="0"/>
          <w:spacing w:val="39"/>
          <w:sz w:val="28"/>
        </w:rPr>
        <w:t xml:space="preserve"> </w:t>
      </w:r>
      <w:r>
        <w:rPr>
          <w:b w:val="0"/>
          <w:sz w:val="28"/>
        </w:rPr>
        <w:t>131-ФЗ «Об общих принципах организации местн</w:t>
      </w:r>
      <w:r>
        <w:rPr>
          <w:b w:val="0"/>
          <w:sz w:val="28"/>
        </w:rPr>
        <w:t xml:space="preserve">ого самоуправления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Российской </w:t>
      </w:r>
      <w:r>
        <w:rPr>
          <w:b w:val="0"/>
          <w:sz w:val="28"/>
        </w:rPr>
        <w:t xml:space="preserve">Федерации», Федеральным законом от 21.12.1994  № 69-ФЗ «О пожарной безопасности» </w:t>
      </w:r>
      <w:r>
        <w:rPr>
          <w:b w:val="0"/>
          <w:color w:themeColor="text1" w:val="000000"/>
          <w:sz w:val="28"/>
        </w:rPr>
        <w:t>и</w:t>
      </w:r>
      <w:r>
        <w:rPr>
          <w:b w:val="0"/>
          <w:sz w:val="28"/>
        </w:rPr>
        <w:t xml:space="preserve"> постановлением Правительства Российской Федерации от 16.09.2020 № 1479 «Об утверждении Правил противопожарного режима в Российской Федерации»</w:t>
      </w:r>
      <w:r>
        <w:rPr>
          <w:b w:val="0"/>
          <w:sz w:val="28"/>
        </w:rPr>
        <w:t>, в целях обеспечения безопасности населения, социально-бытовой инфраструктуры и иных объектов при проведении на территории Промышленновского муниципального округа запуска пиротехнических изделий физическими и юридическими лицами любых форм собственности: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 Утвердить перечень мест, определенных для запуска пиротехнических изделий бытового назначения I - III классов по степени потенциальной опасности на территории Промышленновского муниципального округа.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>Рекомендовать собственникам земельных участков и г</w:t>
      </w:r>
      <w:r>
        <w:rPr>
          <w:sz w:val="28"/>
        </w:rPr>
        <w:t>ражданам при применении пиротехнических изделий бытового назначения I - III классов по степени потенциальной опасности соблюдать меры пожарной безопасности в соответствии с требованиями пожарной безопасности при применении и реализации пиротехнических изде</w:t>
      </w:r>
      <w:r>
        <w:rPr>
          <w:sz w:val="28"/>
        </w:rPr>
        <w:t>лий, установленными постановлением Правительства Российской Федерации от 16.09.2020 № 1479                               «Об утверждении Правил противопожарного режима в Российской Федерации».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3. Признать утратившим силу п</w:t>
      </w:r>
      <w:r>
        <w:rPr>
          <w:rStyle w:val="Style_7_ch"/>
          <w:sz w:val="28"/>
        </w:rPr>
        <w:t>остановление администрации П</w:t>
      </w:r>
      <w:r>
        <w:rPr>
          <w:sz w:val="28"/>
        </w:rPr>
        <w:t>ромышленновского муниципального округа от 05.12.2023 № 1387-П «</w:t>
      </w:r>
      <w:r>
        <w:rPr>
          <w:rStyle w:val="Style_7_ch"/>
          <w:sz w:val="28"/>
        </w:rPr>
        <w:t xml:space="preserve">Об утверждении </w:t>
      </w:r>
      <w:r>
        <w:rPr>
          <w:rStyle w:val="Style_7_ch"/>
          <w:sz w:val="28"/>
        </w:rPr>
        <w:t>перечня</w:t>
      </w:r>
      <w:r>
        <w:rPr>
          <w:rStyle w:val="Style_7_ch"/>
          <w:sz w:val="28"/>
        </w:rPr>
        <w:t xml:space="preserve"> мест</w:t>
      </w:r>
      <w:r>
        <w:rPr>
          <w:rStyle w:val="Style_7_ch"/>
          <w:sz w:val="28"/>
        </w:rPr>
        <w:t>, определенных для</w:t>
      </w:r>
      <w:r>
        <w:rPr>
          <w:rStyle w:val="Style_7_ch"/>
          <w:sz w:val="28"/>
        </w:rPr>
        <w:t xml:space="preserve"> запуска пиротехнических изделий бытового назначения I - III классов по степени потенциальной опасности </w:t>
      </w:r>
      <w:r>
        <w:rPr>
          <w:rStyle w:val="Style_7_ch"/>
          <w:sz w:val="28"/>
        </w:rPr>
        <w:t xml:space="preserve">на территории </w:t>
      </w:r>
      <w:r>
        <w:rPr>
          <w:rStyle w:val="Style_7_ch"/>
          <w:sz w:val="28"/>
        </w:rPr>
        <w:t>Промышленновского муниципального округа</w:t>
      </w:r>
      <w:r>
        <w:rPr>
          <w:sz w:val="28"/>
        </w:rPr>
        <w:t>».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4. Настоящее постановление подлежит размещению на официальном с</w:t>
      </w:r>
      <w:r>
        <w:rPr>
          <w:sz w:val="28"/>
        </w:rPr>
        <w:t>айте администрации Промышленновского муниципального округа в сети Интернет, опубликованию в районной газете «Эхо».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5. 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</w:t>
      </w:r>
      <w:r>
        <w:rPr>
          <w:sz w:val="28"/>
        </w:rPr>
        <w:t>го муниципального округа                 Т.В. Мясоедову.</w:t>
      </w:r>
    </w:p>
    <w:p w14:paraId="19000000">
      <w:pPr>
        <w:pStyle w:val="Style_5"/>
        <w:ind w:firstLine="0" w:left="709"/>
        <w:jc w:val="both"/>
        <w:rPr>
          <w:sz w:val="28"/>
        </w:rPr>
      </w:pPr>
      <w:r>
        <w:rPr>
          <w:sz w:val="28"/>
        </w:rPr>
        <w:t>6. Настоящее постановление вступает в силу со дня подписания.</w:t>
      </w:r>
    </w:p>
    <w:p w14:paraId="1A000000">
      <w:pPr>
        <w:pStyle w:val="Style_5"/>
        <w:ind w:firstLine="0" w:left="709"/>
        <w:jc w:val="both"/>
        <w:rPr>
          <w:sz w:val="28"/>
        </w:rPr>
      </w:pPr>
    </w:p>
    <w:p w14:paraId="1B000000">
      <w:pPr>
        <w:pStyle w:val="Style_5"/>
        <w:ind w:firstLine="0" w:left="709"/>
        <w:jc w:val="both"/>
        <w:rPr>
          <w:sz w:val="28"/>
        </w:rPr>
      </w:pPr>
    </w:p>
    <w:p w14:paraId="1C000000">
      <w:pPr>
        <w:pStyle w:val="Style_5"/>
        <w:ind w:firstLine="0" w:left="709"/>
        <w:jc w:val="both"/>
        <w:rPr>
          <w:sz w:val="28"/>
        </w:rPr>
      </w:pPr>
    </w:p>
    <w:tbl>
      <w:tblPr>
        <w:tblStyle w:val="Style_8"/>
        <w:tblLayout w:type="fixed"/>
      </w:tblPr>
      <w:tblGrid>
        <w:gridCol w:w="5868"/>
        <w:gridCol w:w="3529"/>
      </w:tblGrid>
      <w:tr>
        <w:tc>
          <w:tcPr>
            <w:tcW w:type="dxa" w:w="5868"/>
            <w:shd w:fill="auto" w:val="clear"/>
          </w:tcPr>
          <w:p w14:paraId="1D000000">
            <w:pPr>
              <w:ind/>
              <w:jc w:val="center"/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529"/>
            <w:shd w:fill="auto" w:val="clear"/>
          </w:tcPr>
          <w:p w14:paraId="1E000000"/>
        </w:tc>
      </w:tr>
      <w:tr>
        <w:trPr>
          <w:trHeight w:hRule="atLeast" w:val="385"/>
        </w:trPr>
        <w:tc>
          <w:tcPr>
            <w:tcW w:type="dxa" w:w="5868"/>
            <w:shd w:fill="auto" w:val="clear"/>
          </w:tcPr>
          <w:p w14:paraId="1F000000"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529"/>
            <w:shd w:fill="auto" w:val="clear"/>
          </w:tcPr>
          <w:p w14:paraId="20000000">
            <w:pPr>
              <w:ind/>
              <w:jc w:val="right"/>
            </w:pPr>
            <w:r>
              <w:rPr>
                <w:sz w:val="28"/>
              </w:rPr>
              <w:t>С.А. Федарюк</w:t>
            </w:r>
          </w:p>
        </w:tc>
      </w:tr>
    </w:tbl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0"/>
        </w:rPr>
      </w:pPr>
      <w:r>
        <w:rPr>
          <w:sz w:val="20"/>
        </w:rPr>
        <w:t>Исп. А.А. Галаева</w:t>
      </w:r>
    </w:p>
    <w:p w14:paraId="3D000000">
      <w:pPr>
        <w:spacing w:after="200" w:line="276" w:lineRule="auto"/>
        <w:ind/>
        <w:rPr>
          <w:sz w:val="20"/>
        </w:rPr>
      </w:pPr>
      <w:r>
        <w:rPr>
          <w:sz w:val="20"/>
        </w:rPr>
        <w:t>Тел. 7-20-05</w:t>
      </w:r>
    </w:p>
    <w:p w14:paraId="3E000000">
      <w:pPr>
        <w:sectPr>
          <w:headerReference r:id="rId3" w:type="default"/>
          <w:footerReference r:id="rId4" w:type="default"/>
          <w:pgSz w:h="16838" w:orient="portrait" w:w="11906"/>
          <w:pgMar w:bottom="1134" w:footer="624" w:gutter="0" w:header="708" w:left="1701" w:right="850" w:top="1134"/>
          <w:titlePg/>
        </w:sectPr>
      </w:pPr>
    </w:p>
    <w:p w14:paraId="3F00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УТВЕРЖДЕН </w:t>
      </w:r>
    </w:p>
    <w:p w14:paraId="4000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постановлением </w:t>
      </w:r>
    </w:p>
    <w:p w14:paraId="4100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администрации Промышленновского </w:t>
      </w:r>
    </w:p>
    <w:p w14:paraId="4200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муниципального округа</w:t>
      </w:r>
    </w:p>
    <w:p w14:paraId="43000000">
      <w:pPr>
        <w:pStyle w:val="Style_1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от</w:t>
      </w:r>
      <w:r>
        <w:rPr>
          <w:rFonts w:ascii="Times New Roman" w:hAnsi="Times New Roman"/>
          <w:sz w:val="28"/>
          <w:u w:val="single"/>
        </w:rPr>
        <w:t xml:space="preserve"> 10.12.2024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1253-П</w:t>
      </w:r>
    </w:p>
    <w:p w14:paraId="44000000">
      <w:pPr>
        <w:pStyle w:val="Style_10"/>
        <w:ind/>
        <w:jc w:val="center"/>
        <w:rPr>
          <w:rFonts w:ascii="Times New Roman" w:hAnsi="Times New Roman"/>
          <w:sz w:val="28"/>
          <w:u w:val="single"/>
        </w:rPr>
      </w:pP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мест, определенных для запуска пиротехнических изделий бытового назначения I-III классов по степени потенциальной опасности на территории Промышленновского муницип</w:t>
      </w:r>
      <w:r>
        <w:rPr>
          <w:b w:val="1"/>
          <w:sz w:val="28"/>
        </w:rPr>
        <w:t>ального округа</w:t>
      </w:r>
    </w:p>
    <w:p w14:paraId="46000000">
      <w:pPr>
        <w:ind/>
        <w:jc w:val="center"/>
        <w:rPr>
          <w:b w:val="1"/>
          <w:sz w:val="28"/>
        </w:rPr>
      </w:pPr>
    </w:p>
    <w:tbl>
      <w:tblPr>
        <w:tblStyle w:val="Style_11"/>
        <w:tblLayout w:type="fixed"/>
      </w:tblPr>
      <w:tblGrid>
        <w:gridCol w:w="560"/>
        <w:gridCol w:w="9011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Место, определенное для запуска пиротехнических изделий бытового назначения I-III классов по степени потенциальной опасности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Вагановский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с. Ваганово, ул. Центральная – центральная площадь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Журавлево, ул. </w:t>
            </w:r>
            <w:r>
              <w:rPr>
                <w:sz w:val="22"/>
              </w:rPr>
              <w:t>Центральная – центральная площадь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Прогресс, ул. Центральная, д. 28б (зона парка отдыха)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Калинкинский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Калинкино, ул. Набережная, д. 1а (площадь у здания СХО «Заречье)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Портнягино</w:t>
            </w:r>
            <w:r>
              <w:rPr>
                <w:sz w:val="22"/>
              </w:rPr>
              <w:t xml:space="preserve">, ул. Школьная – площадь у остановочного </w:t>
            </w:r>
            <w:r>
              <w:rPr>
                <w:sz w:val="22"/>
              </w:rPr>
              <w:t>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Ушаково, ул. Лесная, ул. Заречная – площади у остановочных павильонов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>
              <w:rPr>
                <w:sz w:val="22"/>
              </w:rPr>
              <w:t>Октябрьский</w:t>
            </w:r>
            <w:r>
              <w:rPr>
                <w:sz w:val="22"/>
              </w:rPr>
              <w:t>, ул. Центральная – площадь у остановочного павильона</w:t>
            </w:r>
          </w:p>
        </w:tc>
      </w:tr>
      <w:tr>
        <w:trPr>
          <w:trHeight w:hRule="atLeast" w:val="313"/>
        </w:trP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Лебедевский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Корбелкино</w:t>
            </w:r>
            <w:r>
              <w:rPr>
                <w:sz w:val="22"/>
              </w:rPr>
              <w:t xml:space="preserve"> – территория около остановочного 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Лебеди, ул. Центральная – территория за остановочным павильоном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Уфимцево – на площади, пересечение ул. Центральная и ул. Молодежная</w:t>
            </w:r>
          </w:p>
        </w:tc>
      </w:tr>
      <w:tr>
        <w:trPr>
          <w:trHeight w:hRule="atLeast" w:val="137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Пор-Искитим</w:t>
            </w:r>
            <w:r>
              <w:rPr>
                <w:sz w:val="22"/>
              </w:rPr>
              <w:t xml:space="preserve"> – центральная площадь, пересечение ул. Советская и ул. Школьная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Подкопенная</w:t>
            </w:r>
            <w:r>
              <w:rPr>
                <w:sz w:val="22"/>
              </w:rPr>
              <w:t xml:space="preserve"> – территория около ос</w:t>
            </w:r>
            <w:r>
              <w:rPr>
                <w:sz w:val="22"/>
              </w:rPr>
              <w:t>тановочного павильона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Окуневский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с. Окунево – территория около вышки «</w:t>
            </w:r>
            <w:r>
              <w:rPr>
                <w:sz w:val="22"/>
              </w:rPr>
              <w:t>Билайн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Пьяново – территория около вышки «</w:t>
            </w:r>
            <w:r>
              <w:rPr>
                <w:sz w:val="22"/>
              </w:rPr>
              <w:t>Теле</w:t>
            </w:r>
            <w:r>
              <w:rPr>
                <w:sz w:val="22"/>
              </w:rPr>
              <w:t xml:space="preserve"> 2»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рзд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Новый-Исток</w:t>
            </w:r>
            <w:r>
              <w:rPr>
                <w:sz w:val="22"/>
              </w:rPr>
              <w:t xml:space="preserve"> – территория около остановочного 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>
              <w:rPr>
                <w:sz w:val="22"/>
              </w:rPr>
              <w:t>Ранний</w:t>
            </w:r>
            <w:r>
              <w:rPr>
                <w:sz w:val="22"/>
              </w:rPr>
              <w:t xml:space="preserve"> – территория около остановочного павильона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Падунский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п.ст. Падунская, д. Васьково – п. ст. Падунская, ул. Центральная, 1А (площадь)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с. Абышево, ул. Мира, д. 49а – территория около здания магазина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Озерки – центральная </w:t>
            </w:r>
            <w:r>
              <w:rPr>
                <w:sz w:val="22"/>
              </w:rPr>
              <w:t>площадь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Денисовка – территория около остановочного павильона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Плотниковский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п. Плотниково – территория около магазина «Мария-Ра»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Колычево – территория около здания котельной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п. Соревнование – территория на пересечении ул. Светлая и ул. Новая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п. Восход – территория на пересечении ул. Центральная и ул. Молодежная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>
              <w:rPr>
                <w:sz w:val="22"/>
              </w:rPr>
              <w:t>Первомайский</w:t>
            </w:r>
            <w:r>
              <w:rPr>
                <w:sz w:val="22"/>
              </w:rPr>
              <w:t xml:space="preserve"> – территория около остановочного павильона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Промышленновский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z w:val="22"/>
              </w:rPr>
              <w:t xml:space="preserve">. Промышленная, ул. Коммунистическая,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/у 34 (пустырь на пересечении</w:t>
            </w:r>
          </w:p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Коммунистической и ул. Кооперативной)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Пушкинский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с. Краснинское, ул. Центральная – центральная площадь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Пушкино, ул. Лесная, д. 10 (территория около </w:t>
            </w:r>
            <w:r>
              <w:rPr>
                <w:sz w:val="22"/>
              </w:rPr>
              <w:t>здания магазина)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Пархаевка</w:t>
            </w:r>
            <w:r>
              <w:rPr>
                <w:sz w:val="22"/>
              </w:rPr>
              <w:t>, ул. Школьная, д. 2 (территория около здания магазина)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Каменка, ул. </w:t>
            </w:r>
            <w:r>
              <w:rPr>
                <w:sz w:val="22"/>
              </w:rPr>
              <w:t>Федирко</w:t>
            </w:r>
            <w:r>
              <w:rPr>
                <w:sz w:val="22"/>
              </w:rPr>
              <w:t>, д. 84 (территория около здания магазина)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>
              <w:rPr>
                <w:sz w:val="22"/>
              </w:rPr>
              <w:t>Иваново-Родионовский</w:t>
            </w:r>
            <w:r>
              <w:rPr>
                <w:sz w:val="22"/>
              </w:rPr>
              <w:t xml:space="preserve">, ул. Зеленая, д. 20 – территория общего пользования между домами № 18 и № </w:t>
            </w:r>
            <w:r>
              <w:rPr>
                <w:sz w:val="22"/>
              </w:rPr>
              <w:t>22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>Тарабаринский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с. Труд, ул. Мира, аллея (напротив дома № 16)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Байрак</w:t>
            </w:r>
            <w:r>
              <w:rPr>
                <w:sz w:val="22"/>
              </w:rPr>
              <w:t xml:space="preserve">, пер. Луговой, д. 2а (площадка около бывшего магазина </w:t>
            </w:r>
            <w:r>
              <w:rPr>
                <w:sz w:val="22"/>
              </w:rPr>
              <w:t>Райпо</w:t>
            </w:r>
            <w:r>
              <w:rPr>
                <w:sz w:val="22"/>
              </w:rPr>
              <w:t>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Еремино, ул. Магистральная – площадка около остановочного 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>
              <w:rPr>
                <w:sz w:val="22"/>
              </w:rPr>
              <w:t>Цветущий</w:t>
            </w:r>
            <w:r>
              <w:rPr>
                <w:sz w:val="22"/>
              </w:rPr>
              <w:t>, ул. Центральная, д. 28 (площадка за магазином)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Тарабарино, ул. Центральная – площадка до остановочного 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Морозово</w:t>
            </w:r>
            <w:r>
              <w:rPr>
                <w:sz w:val="22"/>
              </w:rPr>
              <w:t>, ул. Кооперативная – площадка около остановочного павильона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 Протопопово – площадка на ул. Луговая, напротив дома № 26</w:t>
            </w:r>
            <w:r>
              <w:rPr>
                <w:sz w:val="22"/>
              </w:rPr>
              <w:t>;</w:t>
            </w:r>
          </w:p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площадка около конторы ООО «</w:t>
            </w:r>
            <w:r>
              <w:rPr>
                <w:sz w:val="22"/>
              </w:rPr>
              <w:t>Цветущий</w:t>
            </w:r>
            <w:r>
              <w:rPr>
                <w:sz w:val="22"/>
              </w:rPr>
              <w:t>», по пер. Школьному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>Тарасовский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Тарасово, д. </w:t>
            </w:r>
            <w:r>
              <w:rPr>
                <w:sz w:val="22"/>
              </w:rPr>
              <w:t>Шипицино</w:t>
            </w:r>
            <w:r>
              <w:rPr>
                <w:sz w:val="22"/>
              </w:rPr>
              <w:t xml:space="preserve"> – стадион по ул. Центральная, д. 96к (Тарасовской СОШ) 350 м</w:t>
            </w:r>
            <w:r>
              <w:rPr>
                <w:sz w:val="22"/>
                <w:vertAlign w:val="superscript"/>
              </w:rPr>
              <w:t>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Голубево, ул. Набережная, д. 2а – за зданием магазина ИП </w:t>
            </w:r>
            <w:r>
              <w:rPr>
                <w:sz w:val="22"/>
              </w:rPr>
              <w:t>Васько</w:t>
            </w:r>
            <w:r>
              <w:rPr>
                <w:sz w:val="22"/>
              </w:rPr>
              <w:t xml:space="preserve"> (стадион) 200 м</w:t>
            </w:r>
            <w:r>
              <w:rPr>
                <w:sz w:val="22"/>
                <w:vertAlign w:val="superscript"/>
              </w:rPr>
              <w:t>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д. Шуринка, ул. Баклыкова – 50 м. от водонапорной башни (открытое место) 200 м</w:t>
            </w:r>
            <w:r>
              <w:rPr>
                <w:sz w:val="22"/>
                <w:vertAlign w:val="superscript"/>
              </w:rPr>
              <w:t>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Калтышино</w:t>
            </w:r>
            <w:r>
              <w:rPr>
                <w:sz w:val="22"/>
              </w:rPr>
              <w:t xml:space="preserve"> – на въезде справа, напротив остановочного павильона (открытое место) </w:t>
            </w:r>
          </w:p>
          <w:p w14:paraId="A9000000">
            <w:pPr>
              <w:ind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200 м</w:t>
            </w:r>
            <w:r>
              <w:rPr>
                <w:sz w:val="22"/>
                <w:vertAlign w:val="superscript"/>
              </w:rPr>
              <w:t>2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Титовский территориальный отдел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numPr>
                <w:ilvl w:val="0"/>
                <w:numId w:val="1"/>
              </w:numPr>
              <w:ind/>
              <w:contextualSpacing w:val="1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Титово –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/у по ул. </w:t>
            </w:r>
            <w:r>
              <w:rPr>
                <w:sz w:val="22"/>
              </w:rPr>
              <w:t>Молодежная, д. 32б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numPr>
                <w:ilvl w:val="0"/>
                <w:numId w:val="1"/>
              </w:numPr>
              <w:ind/>
              <w:contextualSpacing w:val="1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Усть-Каменка</w:t>
            </w:r>
            <w:r>
              <w:rPr>
                <w:sz w:val="22"/>
              </w:rPr>
              <w:t xml:space="preserve">, ул. </w:t>
            </w:r>
            <w:r>
              <w:rPr>
                <w:sz w:val="22"/>
              </w:rPr>
              <w:t>Центральная</w:t>
            </w:r>
            <w:r>
              <w:rPr>
                <w:sz w:val="22"/>
              </w:rPr>
              <w:t xml:space="preserve"> – перед домом № 23 (пустой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/у)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numPr>
                <w:ilvl w:val="0"/>
                <w:numId w:val="1"/>
              </w:numPr>
              <w:ind/>
              <w:contextualSpacing w:val="1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r>
              <w:rPr>
                <w:sz w:val="22"/>
              </w:rPr>
              <w:t>Усть-Тарсьма</w:t>
            </w:r>
            <w:r>
              <w:rPr>
                <w:sz w:val="22"/>
              </w:rPr>
              <w:t xml:space="preserve">, ул. </w:t>
            </w:r>
            <w:r>
              <w:rPr>
                <w:sz w:val="22"/>
              </w:rPr>
              <w:t>Молодежная</w:t>
            </w:r>
            <w:r>
              <w:rPr>
                <w:sz w:val="22"/>
              </w:rPr>
              <w:t>, д. 1а – за магазином</w:t>
            </w:r>
          </w:p>
        </w:tc>
      </w:tr>
    </w:tbl>
    <w:p w14:paraId="B1000000">
      <w:pPr>
        <w:tabs>
          <w:tab w:leader="none" w:pos="3270" w:val="left"/>
        </w:tabs>
        <w:ind/>
        <w:rPr>
          <w:sz w:val="28"/>
        </w:rPr>
      </w:pPr>
    </w:p>
    <w:p w14:paraId="B2000000">
      <w:pPr>
        <w:tabs>
          <w:tab w:leader="none" w:pos="3270" w:val="left"/>
        </w:tabs>
        <w:ind/>
        <w:rPr>
          <w:sz w:val="28"/>
        </w:rPr>
      </w:pPr>
    </w:p>
    <w:p w14:paraId="B3000000">
      <w:pPr>
        <w:tabs>
          <w:tab w:leader="none" w:pos="3270" w:val="left"/>
        </w:tabs>
        <w:ind/>
        <w:rPr>
          <w:sz w:val="28"/>
        </w:rPr>
      </w:pPr>
    </w:p>
    <w:tbl>
      <w:tblPr>
        <w:tblStyle w:val="Style_1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204"/>
        <w:gridCol w:w="3367"/>
      </w:tblGrid>
      <w:tr>
        <w:tc>
          <w:tcPr>
            <w:tcW w:type="dxa" w:w="62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первого заместителя главы</w:t>
            </w:r>
          </w:p>
          <w:p w14:paraId="B5000000">
            <w:pPr>
              <w:tabs>
                <w:tab w:leader="none" w:pos="327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3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00000">
            <w:pPr>
              <w:tabs>
                <w:tab w:leader="none" w:pos="3270" w:val="left"/>
              </w:tabs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B7000000">
            <w:pPr>
              <w:tabs>
                <w:tab w:leader="none" w:pos="3270" w:val="left"/>
              </w:tabs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Мясоедова</w:t>
            </w:r>
          </w:p>
        </w:tc>
      </w:tr>
    </w:tbl>
    <w:p w14:paraId="B8000000">
      <w:pPr>
        <w:ind w:firstLine="450" w:left="0"/>
        <w:jc w:val="center"/>
        <w:rPr>
          <w:b w:val="1"/>
          <w:color w:themeColor="text1" w:val="000000"/>
          <w:sz w:val="28"/>
        </w:rPr>
      </w:pPr>
    </w:p>
    <w:p w14:paraId="B9000000"/>
    <w:p w14:paraId="BA000000"/>
    <w:sectPr>
      <w:footerReference r:id="rId2" w:type="first"/>
      <w:footerReference r:id="rId1" w:type="default"/>
      <w:pgSz w:h="16838" w:orient="portrait" w:w="11906"/>
      <w:pgMar w:bottom="28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0"/>
      </w:rPr>
    </w:pPr>
    <w:r>
      <w:rPr>
        <w:sz w:val="20"/>
      </w:rPr>
      <w:t>2</w:t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sz w:val="20"/>
      </w:rPr>
    </w:pPr>
    <w:r>
      <w:rPr>
        <w:sz w:val="20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  <w:p w14:paraId="06000000">
    <w:pPr>
      <w:pStyle w:val="Style_1"/>
      <w:rPr>
        <w:sz w:val="20"/>
      </w:rPr>
    </w:pPr>
    <w:r>
      <w:rPr>
        <w:sz w:val="20"/>
      </w:rPr>
      <w:t xml:space="preserve">постановление от «___» </w:t>
    </w:r>
    <w:r>
      <w:rPr>
        <w:sz w:val="20"/>
      </w:rPr>
      <w:t>____________</w:t>
    </w:r>
    <w:r>
      <w:rPr>
        <w:sz w:val="20"/>
      </w:rPr>
      <w:t>г</w:t>
    </w:r>
    <w:r>
      <w:rPr>
        <w:sz w:val="20"/>
      </w:rPr>
      <w:t>. № ______</w:t>
    </w:r>
    <w:r>
      <w:rPr>
        <w:sz w:val="20"/>
      </w:rPr>
      <w:tab/>
    </w:r>
    <w:r>
      <w:rPr>
        <w:sz w:val="20"/>
      </w:rPr>
      <w:tab/>
    </w:r>
    <w:r>
      <w:rPr>
        <w:sz w:val="20"/>
      </w:rPr>
      <w:t xml:space="preserve">страница </w:t>
    </w: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 xml:space="preserve"> </w:t>
    </w:r>
    <w:r>
      <w:rPr>
        <w:sz w:val="20"/>
      </w:rPr>
      <w:fldChar w:fldCharType="end"/>
    </w:r>
  </w:p>
  <w:p w14:paraId="07000000">
    <w:pPr>
      <w:pStyle w:val="Style_1"/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tabs>
        <w:tab w:leader="none" w:pos="1215" w:val="left"/>
        <w:tab w:leader="none" w:pos="4677" w:val="clear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/>
      <w:jc w:val="left"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13" w:type="paragraph">
    <w:name w:val="toc 2"/>
    <w:next w:val="Style_7"/>
    <w:link w:val="Style_13_ch"/>
    <w:uiPriority w:val="39"/>
    <w:pPr>
      <w:ind w:firstLine="0" w:left="200"/>
      <w:jc w:val="left"/>
    </w:pPr>
    <w:rPr>
      <w:rFonts w:ascii="XO Thames" w:hAnsi="XO Thames"/>
    </w:rPr>
  </w:style>
  <w:style w:styleId="Style_13_ch" w:type="character">
    <w:name w:val="toc 2"/>
    <w:link w:val="Style_13"/>
    <w:rPr>
      <w:rFonts w:ascii="XO Thames" w:hAnsi="XO Thames"/>
    </w:rPr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</w:rPr>
  </w:style>
  <w:style w:styleId="Style_14_ch" w:type="character">
    <w:name w:val="toc 4"/>
    <w:link w:val="Style_14"/>
    <w:rPr>
      <w:rFonts w:ascii="XO Thames" w:hAnsi="XO Thames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</w:rPr>
  </w:style>
  <w:style w:styleId="Style_15_ch" w:type="character">
    <w:name w:val="toc 6"/>
    <w:link w:val="Style_15"/>
    <w:rPr>
      <w:rFonts w:ascii="XO Thames" w:hAnsi="XO Thames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</w:rPr>
  </w:style>
  <w:style w:styleId="Style_16_ch" w:type="character">
    <w:name w:val="toc 7"/>
    <w:link w:val="Style_16"/>
    <w:rPr>
      <w:rFonts w:ascii="XO Thames" w:hAnsi="XO Thames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" w:type="paragraph">
    <w:name w:val="Iau?iue"/>
    <w:link w:val="Style_5_ch"/>
    <w:pPr>
      <w:ind/>
      <w:jc w:val="left"/>
    </w:pPr>
    <w:rPr>
      <w:sz w:val="20"/>
    </w:rPr>
  </w:style>
  <w:style w:styleId="Style_5_ch" w:type="character">
    <w:name w:val="Iau?iue"/>
    <w:link w:val="Style_5"/>
    <w:rPr>
      <w:sz w:val="20"/>
    </w:rPr>
  </w:style>
  <w:style w:styleId="Style_9" w:type="paragraph">
    <w:name w:val="ConsPlusNormal"/>
    <w:link w:val="Style_9_ch"/>
    <w:pPr>
      <w:ind/>
      <w:jc w:val="left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9" w:type="paragraph">
    <w:name w:val="Balloon Text"/>
    <w:basedOn w:val="Style_7"/>
    <w:link w:val="Style_19_ch"/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</w:rPr>
  </w:style>
  <w:style w:styleId="Style_21_ch" w:type="character">
    <w:name w:val="toc 3"/>
    <w:link w:val="Style_21"/>
    <w:rPr>
      <w:rFonts w:ascii="XO Thames" w:hAnsi="XO Thames"/>
    </w:rPr>
  </w:style>
  <w:style w:styleId="Style_6" w:type="paragraph">
    <w:name w:val="ConsPlusTitle"/>
    <w:link w:val="Style_6_ch"/>
    <w:pPr>
      <w:widowControl w:val="0"/>
      <w:ind/>
      <w:jc w:val="left"/>
    </w:pPr>
    <w:rPr>
      <w:b w:val="1"/>
      <w:sz w:val="24"/>
    </w:rPr>
  </w:style>
  <w:style w:styleId="Style_6_ch" w:type="character">
    <w:name w:val="ConsPlusTitle"/>
    <w:link w:val="Style_6"/>
    <w:rPr>
      <w:b w:val="1"/>
      <w:sz w:val="24"/>
    </w:rPr>
  </w:style>
  <w:style w:styleId="Style_10" w:type="paragraph">
    <w:name w:val="Plain Text"/>
    <w:basedOn w:val="Style_7"/>
    <w:link w:val="Style_10_ch"/>
    <w:rPr>
      <w:rFonts w:ascii="Courier New" w:hAnsi="Courier New"/>
      <w:sz w:val="20"/>
    </w:rPr>
  </w:style>
  <w:style w:styleId="Style_10_ch" w:type="character">
    <w:name w:val="Plain Text"/>
    <w:basedOn w:val="Style_7_ch"/>
    <w:link w:val="Style_10"/>
    <w:rPr>
      <w:rFonts w:ascii="Courier New" w:hAnsi="Courier New"/>
      <w:sz w:val="20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3" w:type="paragraph">
    <w:name w:val="heading 5"/>
    <w:basedOn w:val="Style_7"/>
    <w:next w:val="Style_7"/>
    <w:link w:val="Style_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7_ch"/>
    <w:link w:val="Style_3"/>
    <w:rPr>
      <w:b w:val="1"/>
      <w:sz w:val="28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/>
      <w:jc w:val="left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</w:rPr>
  </w:style>
  <w:style w:styleId="Style_28_ch" w:type="character">
    <w:name w:val="toc 9"/>
    <w:link w:val="Style_28"/>
    <w:rPr>
      <w:rFonts w:ascii="XO Thames" w:hAnsi="XO Thames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</w:rPr>
  </w:style>
  <w:style w:styleId="Style_29_ch" w:type="character">
    <w:name w:val="toc 8"/>
    <w:link w:val="Style_29"/>
    <w:rPr>
      <w:rFonts w:ascii="XO Thames" w:hAnsi="XO Thames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</w:rPr>
  </w:style>
  <w:style w:styleId="Style_30_ch" w:type="character">
    <w:name w:val="toc 5"/>
    <w:link w:val="Style_30"/>
    <w:rPr>
      <w:rFonts w:ascii="XO Thames" w:hAnsi="XO Thames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Subtitle"/>
    <w:next w:val="Style_7"/>
    <w:link w:val="Style_32_ch"/>
    <w:uiPriority w:val="11"/>
    <w:qFormat/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7"/>
    <w:next w:val="Style_7"/>
    <w:link w:val="Style_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_ch" w:type="character">
    <w:name w:val="heading 4"/>
    <w:basedOn w:val="Style_7_ch"/>
    <w:link w:val="Style_4"/>
    <w:rPr>
      <w:rFonts w:ascii="Calibri" w:hAnsi="Calibri"/>
      <w:b w:val="1"/>
      <w:sz w:val="28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</w:rPr>
  </w:style>
  <w:style w:styleId="Style_34_ch" w:type="character">
    <w:name w:val="heading 2"/>
    <w:link w:val="Style_34"/>
    <w:rPr>
      <w:rFonts w:ascii="XO Thames" w:hAnsi="XO Thames"/>
      <w:b w:val="1"/>
    </w:rPr>
  </w:style>
  <w:style w:styleId="Style_11" w:type="table">
    <w:name w:val="Сетка таблицы1"/>
    <w:basedOn w:val="Style_8"/>
    <w:pPr>
      <w:ind/>
      <w:jc w:val="left"/>
    </w:pPr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name w:val="Table Grid"/>
    <w:basedOn w:val="Style_8"/>
    <w:pPr>
      <w:ind/>
      <w:jc w:val="left"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2024-12-10T07:28:34Z</dcterms:modified>
</cp:coreProperties>
</file>