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360"/>
        <w:ind/>
        <w:jc w:val="center"/>
        <w:rPr>
          <w:b w:val="1"/>
          <w:sz w:val="32"/>
        </w:rPr>
      </w:pPr>
      <w:r>
        <w:drawing>
          <wp:inline>
            <wp:extent cx="605790" cy="7004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5790" cy="700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КЕМЕРОВСКАЯ ОБЛАСТЬ</w:t>
      </w:r>
    </w:p>
    <w:p w14:paraId="03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</w:t>
      </w:r>
    </w:p>
    <w:p w14:paraId="04000000">
      <w:pPr>
        <w:pStyle w:val="Style_1"/>
        <w:ind w:firstLine="0" w:left="-180" w:right="-2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ПРОМЫШЛЕННОВСКОГО МУНИЦИПАЛЬНОГО ОКРУГА</w:t>
      </w:r>
    </w:p>
    <w:p w14:paraId="05000000">
      <w:pPr>
        <w:pStyle w:val="Style_2"/>
        <w:spacing w:before="360"/>
        <w:ind/>
        <w:jc w:val="center"/>
        <w:rPr>
          <w:rFonts w:ascii="Times New Roman" w:hAnsi="Times New Roman"/>
          <w:b w:val="0"/>
          <w:spacing w:val="60"/>
          <w:sz w:val="28"/>
        </w:rPr>
      </w:pPr>
      <w:r>
        <w:rPr>
          <w:rFonts w:ascii="Times New Roman" w:hAnsi="Times New Roman"/>
          <w:b w:val="0"/>
          <w:spacing w:val="60"/>
          <w:sz w:val="28"/>
        </w:rPr>
        <w:t>ПОСТАНОВЛЕНИЕ</w:t>
      </w:r>
    </w:p>
    <w:p w14:paraId="06000000">
      <w:pPr>
        <w:spacing w:after="0"/>
        <w:ind/>
        <w:jc w:val="center"/>
        <w:rPr>
          <w:rFonts w:ascii="Times New Roman" w:hAnsi="Times New Roman"/>
        </w:rPr>
      </w:pP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18 июня 2025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u w:val="single"/>
        </w:rPr>
        <w:t xml:space="preserve"> 603-П</w:t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пгт</w:t>
      </w:r>
      <w:r>
        <w:rPr>
          <w:rFonts w:ascii="Times New Roman" w:hAnsi="Times New Roman"/>
        </w:rPr>
        <w:t>. Промышленная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об осуществлении экологического просвещения и формировании экологической культуры на территории Промышленновского муниципального округа</w:t>
      </w:r>
    </w:p>
    <w:p w14:paraId="0B000000">
      <w:pPr>
        <w:spacing w:after="0" w:before="240"/>
        <w:ind/>
        <w:jc w:val="both"/>
        <w:rPr>
          <w:rFonts w:ascii="Times New Roman" w:hAnsi="Times New Roman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10.01.2002 № 7-ФЗ                                     «Об охране окружающей среды», руководствуясь </w:t>
      </w:r>
      <w:r>
        <w:rPr>
          <w:rFonts w:ascii="Times New Roman" w:hAnsi="Times New Roman"/>
          <w:sz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</w:rPr>
        <w:t>Промышленновск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 xml:space="preserve">ый округ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Кемеровской области</w:t>
      </w:r>
      <w:r>
        <w:rPr>
          <w:rFonts w:ascii="Times New Roman" w:hAnsi="Times New Roman"/>
          <w:sz w:val="28"/>
        </w:rPr>
        <w:t xml:space="preserve"> – Кузбасса: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об осуществлении экологического просвещения и формировании экологической культуры на территории Промышленновского муниципального округа.</w:t>
      </w:r>
    </w:p>
    <w:p w14:paraId="0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                               информационно-телекоммуникационной сети «Интернет».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главы – </w:t>
      </w: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Управления по жизнеобеспечению и строительства администрации Промышленновского муниципального округа    А.А. Зарубина.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 момента подписания.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5778"/>
        <w:gridCol w:w="4127"/>
      </w:tblGrid>
      <w:tr>
        <w:tc>
          <w:tcPr>
            <w:tcW w:type="dxa" w:w="5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1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41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С.А. Федарюк</w:t>
            </w:r>
          </w:p>
        </w:tc>
      </w:tr>
    </w:tbl>
    <w:p w14:paraId="17000000">
      <w:pPr>
        <w:spacing w:after="0"/>
        <w:ind/>
        <w:rPr>
          <w:rFonts w:ascii="Times New Roman" w:hAnsi="Times New Roman"/>
          <w:sz w:val="16"/>
        </w:rPr>
      </w:pPr>
    </w:p>
    <w:p w14:paraId="18000000">
      <w:pPr>
        <w:spacing w:after="0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Исп. Анохина А.П.</w:t>
      </w:r>
    </w:p>
    <w:p w14:paraId="19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Тел. 745</w:t>
      </w:r>
      <w:bookmarkStart w:id="1" w:name="_GoBack"/>
      <w:bookmarkEnd w:id="1"/>
      <w:r>
        <w:rPr>
          <w:rFonts w:ascii="Times New Roman" w:hAnsi="Times New Roman"/>
          <w:sz w:val="16"/>
        </w:rPr>
        <w:t>18</w:t>
      </w: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86"/>
        <w:gridCol w:w="5245"/>
      </w:tblGrid>
      <w:tr>
        <w:trPr>
          <w:trHeight w:hRule="atLeast" w:val="1652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right"/>
            </w:pPr>
          </w:p>
        </w:tc>
        <w:tc>
          <w:tcPr>
            <w:tcW w:type="dxa" w:w="5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Промышленновского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от«____»</w:t>
            </w:r>
            <w:r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 №______</w:t>
            </w:r>
          </w:p>
        </w:tc>
      </w:tr>
    </w:tbl>
    <w:p w14:paraId="20000000">
      <w:pPr>
        <w:spacing w:after="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 об осуществлении экологического просвещения и формировании экологической культуры на территории Промышленновского муниципального округа</w:t>
      </w:r>
    </w:p>
    <w:p w14:paraId="21000000">
      <w:pPr>
        <w:spacing w:after="0" w:before="240"/>
        <w:ind w:firstLine="0" w:left="283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Настоящее Положение разработано в соответствии с пунктом 11 части 1 статьи 16 (либо с  пунктом 9 части 1 статьи 15) Федерального закона от 06.10.2003 № 131-ФЗ «Об общих принципах организации местного самоуправления в Российской Федерации»,  статьи 74 Федерального закона от 10.01.2002 № 7-ФЗ «Об охране окружающей среды» и определяет правовые и организационные основы осуществления экологического просвещения, создания условий для формирования экологической культуры</w:t>
      </w:r>
      <w:r>
        <w:rPr>
          <w:rFonts w:ascii="Times New Roman" w:hAnsi="Times New Roman"/>
          <w:sz w:val="28"/>
        </w:rPr>
        <w:t xml:space="preserve"> на территории Промышленновского муниципального округа.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8" w:left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Понятия, используемые в настоящем Положении</w:t>
      </w:r>
    </w:p>
    <w:p w14:paraId="25000000">
      <w:pPr>
        <w:spacing w:after="0" w:line="240" w:lineRule="auto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целей настоящего Положения используются следующие понятия: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экологическая информация - сведения и данные о состоянии окружающей среды, ее компонентов, об источниках загрязнения окружающей среды и природных ресурсов или иного вредного воздействия на окружающую среду, а также о мерах по охране, защите и восстановлению окружающей среды;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экологическая культура - неотъемлемая часть мировой и национальной культуры, включающая систему социальных отношений, моральных ценностей, норм и способов взаимодействия человека и общества с окружающей средой;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экологический туризм - </w:t>
      </w:r>
      <w:r>
        <w:rPr>
          <w:rFonts w:ascii="Times New Roman" w:hAnsi="Times New Roman"/>
          <w:sz w:val="28"/>
        </w:rPr>
        <w:t>природоориентированная</w:t>
      </w:r>
      <w:r>
        <w:rPr>
          <w:rFonts w:ascii="Times New Roman" w:hAnsi="Times New Roman"/>
          <w:sz w:val="28"/>
        </w:rPr>
        <w:t xml:space="preserve"> туристская деятельность, имеющая целью организацию отдыха и получение естественнонаучных или практических знаний и опыта, не наносящая вред природной среде.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Основные цели и задачи экологического просвещения и формирования экологической культуры в Промышленновском муниципальном округе</w:t>
      </w:r>
    </w:p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Основными целями экологического просвещения и формирования экологической культуры на территории Промышленновского муниципального округа являются: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бережного отношения к природе и повышение экологической культуры на территории Промышленновского муниципального округа;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сохранение благоприятной окружающей среды, биологического разнообразия и природных ресурсов.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Основными задачами экологического просвещения и формирования экологической культуры в Промышленновском муниципальном округе являются: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информационное обеспечение населения в сфере охраны окружающей среды и экологической безопасности;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роли особо охраняемых природных территорий как       эколого-просветительских центров;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привлечение граждан, общественных и иных некоммерческих организаций к участию в реализации экологически значимой деятельности в Промышленновском муниципальном округе;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вовлечение детей, молодежи и иных социальных групп в экологически направленную деятельность в области охраны окружающей среды, рационального природопользования в Промышленновском муниципальном округе;</w:t>
      </w:r>
    </w:p>
    <w:p w14:paraId="37000000">
      <w:pPr>
        <w:spacing w:after="0" w:line="24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условий для развития экологического туризма в Промышленновском муниципальном округе;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6) формирование ответственного отношения к обращению с отходами, в том числе раздельному сбору твердых коммунальных отходов.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Основные принципы экологического просвещения и формирования экологической культуры в Промышленновском муниципальном округе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Основными принципами экологического просвещения и формирования экологической культуры в Промышленновском муниципальном округе являются: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системность и непрерывность экологического просвещения;</w:t>
      </w:r>
    </w:p>
    <w:p w14:paraId="3E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всеобщность экологического просвещения;</w:t>
      </w:r>
    </w:p>
    <w:p w14:paraId="3F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открытость и доступность экологической информации;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направленность экологического просвещения на устойчивое развитие территории Промышленновского муниципального округа, решение актуальных для Промышленновского муниципального округа экологических проблем, сохранение природы - улучшением качества окружающей среды;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гласность при разработке и реализации органами местного самоуправления мероприятий в сфере экологического просвещения и формирования экологической культуры.</w:t>
      </w:r>
    </w:p>
    <w:p w14:paraId="4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Права граждан, общественных объединений и иных организаций в сфере экологического просвещения, формирования экологической культуры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Граждане, общественные объединения и иные организации в сфере экологического просвещения и формирования экологической культуры имеют право: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вносить предложения по реализации и совершенствованию деятельности органов местного самоуправления в сфере экологического просвещения, формирования экологической культуры;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участвовать в разработке проектов муниципальных программ и планов по экологическому просвещению и в их реализации посредством проведения и (или) участия в общественных (публичных) слушаниях;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запрашивать и получать в установленном порядке достоверную экологическую информацию, необходимую для осуществления деятельности по экологическому просвещению;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реализовывать интерактивные образовательные технологии, выставки и  презентации экологических программ и учебно-просветительских материалов;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организовывать субботники, принимать активное участие в работе по  благоустройству и озеленению территорий, смотрах, конкурсах, конференциях, семинарах, информационных и иных кампаний с целью формирования и повышения правовой и экологической культуры населения;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осуществлять иные права в соответствии с законодательством.</w:t>
      </w:r>
    </w:p>
    <w:p w14:paraId="4C000000">
      <w:pPr>
        <w:spacing w:after="0" w:before="240"/>
        <w:ind w:firstLine="708" w:left="141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Экологическое просвещение населения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Экологическое просвещение населения в Промышленновском муниципальном округе осуществляется в целях формирования нравственного отношения человека к окружающей среде как основы повышения уровня экологической культуры.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Экологическое просвещение и формирование экологической культуры осуществляется органами местного самоуправления в следующих формах: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о законодательстве в области охраны окружающей среды, обращения с отходами производства и потребления, экологической безопасности; 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пропаганда экологических знаний, распространение информации о состоянии окружающей среды, природных ресурсов и экологической безопасности путем выпуска специализированных радио- и телепрограмм (включая социальную рекламу), печатных изданий экологического характера, а также посредством размещения информации органами местного самоуправления Промышленновского муниципального округа на официальных сайтах в информационно-телекоммуникационной сети «Интернет»;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эколого-просветительская деятельность (научно-практические конференции, форумы, конкурсы, фестивали, выставки, экологические акции и </w:t>
      </w:r>
      <w:r>
        <w:rPr>
          <w:rFonts w:ascii="Times New Roman" w:hAnsi="Times New Roman"/>
          <w:sz w:val="28"/>
        </w:rPr>
        <w:t>другое</w:t>
      </w:r>
      <w:r>
        <w:rPr>
          <w:rFonts w:ascii="Times New Roman" w:hAnsi="Times New Roman"/>
          <w:sz w:val="28"/>
        </w:rPr>
        <w:t>);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экологический туризм;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экологических центров, музеев природы, экологических троп, экологических лагерей, в том числе на особо охраняемых природных территориях регионального значения с учетом режима их особой охраны;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иные формы, не противоречащие действующему законодательству.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Участие в экологическом просвещении и формировании экологической культуры в Промышленновском муниципальном округе музеев, библиотек и средств массовой информации</w:t>
      </w:r>
    </w:p>
    <w:p w14:paraId="58000000">
      <w:pPr>
        <w:spacing w:after="0" w:before="24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Основными формами работы и видами деятельности музеев в сфере экологического просвещения и формирования экологической культуры в Промышленновском муниципальном округе являются организация экспозиций, стационарных и передвижных выставок экологической направленности, организация и проведение конференций, конкурсов, семинаров, «круглых столов» и иных мероприятий.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Библиотеки в соответствии со своими уставами участвуют в экологическом просвещении и формировании экологической культуры в Промышленновском муниципальном округе посредством комплектования библиотечного фонда документами и изданиями экологического и правового характера, проведения конференций, конкурсов, семинаров, «круглых столов» и иных мероприятий, посвященных проблемам охраны окружающей среды и экологической безопасности.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Организации телерадиовещания и редакции муниципальных периодических печатных изданий на основании устава редакции и (или) договора между учредителем и редакцией (главным редактором) участвуют в формировании экологической культуры на территории Промышленновском муниципальном округе посредством распространения экологической,          эколого-правовой информации, выпуска программ и материалов, посвященных проблемам экологии, охраны окружающей среды, экологической безопасности.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</w:t>
      </w:r>
      <w:r>
        <w:rPr>
          <w:rFonts w:ascii="Times New Roman" w:hAnsi="Times New Roman"/>
          <w:sz w:val="28"/>
        </w:rPr>
        <w:t>Органы местного самоуправления Промышленновском муниципальном округе обеспечивают необходимые экономические и организационные условия по развитию специализированных организаций телерадиовещания, периодических печатных изданий, способствующих формированию экологической культуры.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0" w:left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. Финансовое обеспечение деятельности в сфере экологического просвещения и формирования экологической культуры </w:t>
      </w:r>
      <w:r>
        <w:rPr>
          <w:rFonts w:ascii="Times New Roman" w:hAnsi="Times New Roman"/>
          <w:b w:val="1"/>
          <w:sz w:val="28"/>
        </w:rPr>
        <w:t>в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Промышленновском</w:t>
      </w:r>
      <w:r>
        <w:rPr>
          <w:rFonts w:ascii="Times New Roman" w:hAnsi="Times New Roman"/>
          <w:b w:val="1"/>
          <w:sz w:val="28"/>
        </w:rPr>
        <w:t xml:space="preserve"> муниципальном округе</w:t>
      </w:r>
    </w:p>
    <w:p w14:paraId="5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8.1. Финансовое обеспечение деятельности в сфере экологического просвещения и формирования экологической культуры в Промышленновском муниципальном округе может осуществляться за счет средств местного бюджета Промышленновском муниципальном округе, а также иных не запрещенных законодательством Российской Федерации источников.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353"/>
        <w:gridCol w:w="4784"/>
      </w:tblGrid>
      <w:tr>
        <w:tc>
          <w:tcPr>
            <w:tcW w:type="dxa" w:w="535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– начальник Управления по жизнеобеспечению </w:t>
            </w:r>
            <w:r>
              <w:rPr>
                <w:rFonts w:ascii="Times New Roman" w:hAnsi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>и строительству администрации Промышленновского муниципального округа</w:t>
            </w:r>
          </w:p>
        </w:tc>
        <w:tc>
          <w:tcPr>
            <w:tcW w:type="dxa" w:w="47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6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6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6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Зарубин</w:t>
            </w:r>
          </w:p>
        </w:tc>
      </w:tr>
    </w:tbl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38" w:footer="680" w:gutter="0" w:header="680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Знак"/>
    <w:basedOn w:val="Style_7"/>
    <w:link w:val="Style_6_ch"/>
    <w:pPr>
      <w:tabs>
        <w:tab w:leader="none" w:pos="4677" w:val="clear"/>
        <w:tab w:leader="none" w:pos="9355" w:val="clear"/>
      </w:tabs>
      <w:ind w:firstLine="720" w:left="0" w:right="40"/>
      <w:jc w:val="both"/>
    </w:pPr>
    <w:rPr>
      <w:rFonts w:ascii="Times New Roman" w:hAnsi="Times New Roman"/>
      <w:sz w:val="28"/>
    </w:rPr>
  </w:style>
  <w:style w:styleId="Style_6_ch" w:type="character">
    <w:name w:val="Знак"/>
    <w:basedOn w:val="Style_7_ch"/>
    <w:link w:val="Style_6"/>
    <w:rPr>
      <w:rFonts w:ascii="Times New Roman" w:hAnsi="Times New Roman"/>
      <w:sz w:val="28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nt Style25"/>
    <w:link w:val="Style_9_ch"/>
    <w:rPr>
      <w:rFonts w:ascii="Times New Roman" w:hAnsi="Times New Roman"/>
      <w:sz w:val="26"/>
    </w:rPr>
  </w:style>
  <w:style w:styleId="Style_9_ch" w:type="character">
    <w:name w:val="Font Style25"/>
    <w:link w:val="Style_9"/>
    <w:rPr>
      <w:rFonts w:ascii="Times New Roman" w:hAnsi="Times New Roman"/>
      <w:sz w:val="26"/>
    </w:rPr>
  </w:style>
  <w:style w:styleId="Style_10" w:type="paragraph">
    <w:name w:val="ConsPlusNormal"/>
    <w:link w:val="Style_10_ch"/>
    <w:pPr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ConsPlusNormal"/>
    <w:link w:val="Style_10"/>
    <w:rPr>
      <w:rFonts w:ascii="Times New Roman" w:hAnsi="Times New Roman"/>
      <w:sz w:val="28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Гиперссылка1"/>
    <w:basedOn w:val="Style_16"/>
    <w:link w:val="Style_15_ch"/>
    <w:rPr>
      <w:color w:themeColor="hyperlink" w:val="0000FF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000FF"/>
      <w:u w:val="single"/>
    </w:rPr>
  </w:style>
  <w:style w:styleId="Style_17" w:type="paragraph">
    <w:name w:val="Номер страницы1"/>
    <w:basedOn w:val="Style_16"/>
    <w:link w:val="Style_17_ch"/>
  </w:style>
  <w:style w:styleId="Style_17_ch" w:type="character">
    <w:name w:val="Номер страницы1"/>
    <w:basedOn w:val="Style_16_ch"/>
    <w:link w:val="Style_17"/>
  </w:style>
  <w:style w:styleId="Style_18" w:type="paragraph">
    <w:name w:val="Normal (Web)"/>
    <w:basedOn w:val="Style_5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5_ch"/>
    <w:link w:val="Style_18"/>
    <w:rPr>
      <w:rFonts w:ascii="Times New Roman" w:hAnsi="Times New Roman"/>
      <w:sz w:val="24"/>
    </w:rPr>
  </w:style>
  <w:style w:styleId="Style_19" w:type="paragraph">
    <w:name w:val="Знак Знак Знак Знак Знак"/>
    <w:basedOn w:val="Style_5"/>
    <w:link w:val="Style_1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_ch" w:type="character">
    <w:name w:val="Знак Знак Знак Знак Знак"/>
    <w:basedOn w:val="Style_5_ch"/>
    <w:link w:val="Style_19"/>
    <w:rPr>
      <w:rFonts w:ascii="Tahoma" w:hAnsi="Tahoma"/>
      <w:sz w:val="20"/>
    </w:rPr>
  </w:style>
  <w:style w:styleId="Style_20" w:type="paragraph">
    <w:name w:val="Body Text 3"/>
    <w:basedOn w:val="Style_5"/>
    <w:link w:val="Style_20_ch"/>
    <w:pPr>
      <w:spacing w:after="0" w:line="240" w:lineRule="auto"/>
      <w:ind/>
      <w:jc w:val="center"/>
    </w:pPr>
    <w:rPr>
      <w:rFonts w:ascii="Arial Black" w:hAnsi="Arial Black"/>
    </w:rPr>
  </w:style>
  <w:style w:styleId="Style_20_ch" w:type="character">
    <w:name w:val="Body Text 3"/>
    <w:basedOn w:val="Style_5_ch"/>
    <w:link w:val="Style_20"/>
    <w:rPr>
      <w:rFonts w:ascii="Arial Black" w:hAnsi="Arial Black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5_ch"/>
    <w:link w:val="Style_21"/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Без интервала1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Без интервала1"/>
    <w:link w:val="Style_23"/>
    <w:rPr>
      <w:rFonts w:ascii="Calibri" w:hAnsi="Calibri"/>
    </w:rPr>
  </w:style>
  <w:style w:styleId="Style_24" w:type="paragraph">
    <w:name w:val="toc 3"/>
    <w:next w:val="Style_5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"/>
    <w:basedOn w:val="Style_5"/>
    <w:link w:val="Style_25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25_ch" w:type="character">
    <w:name w:val="Body Text"/>
    <w:basedOn w:val="Style_5_ch"/>
    <w:link w:val="Style_25"/>
    <w:rPr>
      <w:rFonts w:ascii="Times New Roman" w:hAnsi="Times New Roman"/>
      <w:sz w:val="20"/>
    </w:rPr>
  </w:style>
  <w:style w:styleId="Style_26" w:type="paragraph">
    <w:name w:val="Знак Знак Знак Знак"/>
    <w:basedOn w:val="Style_5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 Знак Знак Знак"/>
    <w:basedOn w:val="Style_5_ch"/>
    <w:link w:val="Style_26"/>
    <w:rPr>
      <w:rFonts w:ascii="Verdana" w:hAnsi="Verdana"/>
      <w:sz w:val="20"/>
    </w:rPr>
  </w:style>
  <w:style w:styleId="Style_1" w:type="paragraph">
    <w:name w:val="heading 5"/>
    <w:next w:val="Style_5"/>
    <w:link w:val="Style_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_ch" w:type="character">
    <w:name w:val="heading 5"/>
    <w:link w:val="Style_1"/>
    <w:rPr>
      <w:rFonts w:ascii="XO Thames" w:hAnsi="XO Thames"/>
      <w:b w:val="1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0"/>
    </w:rPr>
  </w:style>
  <w:style w:styleId="Style_27_ch" w:type="character">
    <w:name w:val="heading 1"/>
    <w:basedOn w:val="Style_5_ch"/>
    <w:link w:val="Style_27"/>
    <w:rPr>
      <w:rFonts w:ascii="Times New Roman" w:hAnsi="Times New Roman"/>
      <w:b w:val="1"/>
      <w:sz w:val="20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5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List Paragraph"/>
    <w:basedOn w:val="Style_5"/>
    <w:link w:val="Style_32_ch"/>
    <w:pPr>
      <w:ind w:firstLine="0" w:left="720"/>
      <w:contextualSpacing w:val="1"/>
    </w:pPr>
  </w:style>
  <w:style w:styleId="Style_32_ch" w:type="character">
    <w:name w:val="List Paragraph"/>
    <w:basedOn w:val="Style_5_ch"/>
    <w:link w:val="Style_32"/>
  </w:style>
  <w:style w:styleId="Style_33" w:type="paragraph">
    <w:name w:val="Знак"/>
    <w:basedOn w:val="Style_5"/>
    <w:link w:val="Style_33_ch"/>
    <w:pPr>
      <w:spacing w:after="160" w:line="240" w:lineRule="exact"/>
      <w:ind/>
    </w:pPr>
    <w:rPr>
      <w:rFonts w:ascii="Verdana" w:hAnsi="Verdana"/>
      <w:sz w:val="20"/>
    </w:rPr>
  </w:style>
  <w:style w:styleId="Style_33_ch" w:type="character">
    <w:name w:val="Знак"/>
    <w:basedOn w:val="Style_5_ch"/>
    <w:link w:val="Style_33"/>
    <w:rPr>
      <w:rFonts w:ascii="Verdana" w:hAnsi="Verdana"/>
      <w:sz w:val="20"/>
    </w:rPr>
  </w:style>
  <w:style w:styleId="Style_34" w:type="paragraph">
    <w:name w:val="toc 9"/>
    <w:next w:val="Style_5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35" w:type="paragraph">
    <w:name w:val="toc 8"/>
    <w:next w:val="Style_5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6" w:type="paragraph">
    <w:name w:val="ConsNonformat"/>
    <w:link w:val="Style_3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6_ch" w:type="character">
    <w:name w:val="ConsNonformat"/>
    <w:link w:val="Style_36"/>
    <w:rPr>
      <w:rFonts w:ascii="Courier New" w:hAnsi="Courier New"/>
      <w:sz w:val="20"/>
    </w:rPr>
  </w:style>
  <w:style w:styleId="Style_37" w:type="paragraph">
    <w:name w:val="Основной текст (2)"/>
    <w:basedOn w:val="Style_5"/>
    <w:link w:val="Style_37_ch"/>
    <w:pPr>
      <w:widowControl w:val="0"/>
      <w:spacing w:after="420" w:line="240" w:lineRule="atLeast"/>
      <w:ind/>
    </w:pPr>
  </w:style>
  <w:style w:styleId="Style_37_ch" w:type="character">
    <w:name w:val="Основной текст (2)"/>
    <w:basedOn w:val="Style_5_ch"/>
    <w:link w:val="Style_37"/>
  </w:style>
  <w:style w:styleId="Style_38" w:type="paragraph">
    <w:name w:val="Body Text 2"/>
    <w:basedOn w:val="Style_5"/>
    <w:link w:val="Style_38_ch"/>
    <w:pPr>
      <w:spacing w:after="120" w:line="480" w:lineRule="auto"/>
      <w:ind/>
    </w:pPr>
  </w:style>
  <w:style w:styleId="Style_38_ch" w:type="character">
    <w:name w:val="Body Text 2"/>
    <w:basedOn w:val="Style_5_ch"/>
    <w:link w:val="Style_38"/>
  </w:style>
  <w:style w:styleId="Style_39" w:type="paragraph">
    <w:name w:val="toc 5"/>
    <w:next w:val="Style_5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onsPlusTitle"/>
    <w:link w:val="Style_40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0_ch" w:type="character">
    <w:name w:val="ConsPlusTitle"/>
    <w:link w:val="Style_40"/>
    <w:rPr>
      <w:rFonts w:ascii="Arial" w:hAnsi="Arial"/>
      <w:b w:val="1"/>
      <w:sz w:val="20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5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5" w:type="paragraph">
    <w:name w:val="No Spacing"/>
    <w:link w:val="Style_45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45_ch" w:type="character">
    <w:name w:val="No Spacing"/>
    <w:link w:val="Style_45"/>
    <w:rPr>
      <w:rFonts w:ascii="Times New Roman" w:hAnsi="Times New Roman"/>
      <w:sz w:val="28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spacing w:after="60" w:before="240" w:line="240" w:lineRule="auto"/>
      <w:ind/>
      <w:jc w:val="both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styleId="Style_47" w:type="paragraph">
    <w:name w:val="Обычный1"/>
    <w:link w:val="Style_47_ch"/>
    <w:rPr>
      <w:rFonts w:ascii="Calibri" w:hAnsi="Calibri"/>
    </w:rPr>
  </w:style>
  <w:style w:styleId="Style_47_ch" w:type="character">
    <w:name w:val="Обычный1"/>
    <w:link w:val="Style_47"/>
    <w:rPr>
      <w:rFonts w:ascii="Calibri" w:hAnsi="Calibri"/>
    </w:rPr>
  </w:style>
  <w:style w:styleId="Style_48" w:type="paragraph">
    <w:name w:val="Body Text Indent"/>
    <w:basedOn w:val="Style_5"/>
    <w:link w:val="Style_48_ch"/>
    <w:pPr>
      <w:spacing w:after="120" w:line="240" w:lineRule="auto"/>
      <w:ind w:firstLine="0" w:left="283"/>
      <w:jc w:val="both"/>
    </w:pPr>
    <w:rPr>
      <w:rFonts w:ascii="Times New Roman" w:hAnsi="Times New Roman"/>
      <w:sz w:val="28"/>
    </w:rPr>
  </w:style>
  <w:style w:styleId="Style_48_ch" w:type="character">
    <w:name w:val="Body Text Indent"/>
    <w:basedOn w:val="Style_5_ch"/>
    <w:link w:val="Style_48"/>
    <w:rPr>
      <w:rFonts w:ascii="Times New Roman" w:hAnsi="Times New Roman"/>
      <w:sz w:val="28"/>
    </w:rPr>
  </w:style>
  <w:style w:styleId="Style_49" w:type="table">
    <w:name w:val="Сетка таблицы светлая2"/>
    <w:basedOn w:val="Style_3"/>
    <w:pPr>
      <w:spacing w:after="0" w:line="240" w:lineRule="auto"/>
      <w:ind/>
    </w:pPr>
    <w:tblPr>
      <w:tblInd w:type="dxa" w:w="0"/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 светлая1"/>
    <w:basedOn w:val="Style_3"/>
    <w:pPr>
      <w:spacing w:after="0" w:line="240" w:lineRule="auto"/>
      <w:ind/>
    </w:pPr>
    <w:tblPr>
      <w:tblInd w:type="dxa" w:w="0"/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2025-06-20T03:53:48Z</dcterms:modified>
</cp:coreProperties>
</file>