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88" w:rsidRPr="009C5688" w:rsidRDefault="009C5688" w:rsidP="009C5688">
      <w:pPr>
        <w:spacing w:after="0" w:line="416" w:lineRule="atLeast"/>
        <w:jc w:val="center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ИЗВЕЩЕНИЕ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Администрация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Правительства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Кузбасса,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Министерство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экономического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развития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Кузбасса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сообщает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проведении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регионального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лучших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практик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применения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технологий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бережливого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производства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2025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года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(далее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конкурс).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проводится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соответствии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Положением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региональном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лучших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практик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применения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технологий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бережливого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производства,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утвержденным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постановлением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Правительства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proofErr w:type="gramStart"/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Кемеровской</w:t>
      </w:r>
      <w:proofErr w:type="gramEnd"/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области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Кузбасса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от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08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сентября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2022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г.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№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616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(далее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Положение).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Прием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заявок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участие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осуществляется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20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декабря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2025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года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20</w:t>
      </w:r>
      <w:r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февраля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2026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года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включительно.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Заявки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направляются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электронном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виде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ссылке: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hyperlink r:id="rId4" w:history="1">
        <w:r w:rsidRPr="009C5688">
          <w:rPr>
            <w:rFonts w:ascii="Arial" w:eastAsia="Times New Roman" w:hAnsi="Arial" w:cs="Arial"/>
            <w:color w:val="000026"/>
            <w:sz w:val="28"/>
            <w:lang w:eastAsia="ru-RU"/>
          </w:rPr>
          <w:t>https://forms.yandex.ru/cloud/69393ec584227cca143b4990/</w:t>
        </w:r>
      </w:hyperlink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прикреплением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конкурсных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материалов.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Электронная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заявка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позволяет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загрузить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20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файлов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конкурсными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материалами.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Конкурсные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материалы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представляются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виде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скана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заявки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установленного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образца,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подписанной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руководителем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организации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(Приложение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№1),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общей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презентации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материалов,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подтверждающих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выполнение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критериев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оценки.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Участник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считается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зарегистрированным,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если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он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заполнил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все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поля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формы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заявки.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proofErr w:type="gramStart"/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Соискателями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участниками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могут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являться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исполнительные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органы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Кемеровской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области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Кузбасса,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структурные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подразделения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подведомственные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организации,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органы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местного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самоуправления,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структурные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подразделения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подведомственные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организации,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организации,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участвующие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реализации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национального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«Эффективная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конкурентная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экономика»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федерального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«Производительность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труда»,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также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иные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организации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независимо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от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организационно-правовой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формы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формы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собственности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(далее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соискатели,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участники),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соответствующие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требованиям,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определенным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Положением</w:t>
      </w:r>
      <w:proofErr w:type="gramEnd"/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Участники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победители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предыдущего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года,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вправе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подать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заявку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участие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настоящем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любой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номинации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условии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lastRenderedPageBreak/>
        <w:t>направления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конкурсных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материалов,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отличных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от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конкурсных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материалов,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представленных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предыдущем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году.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Конкурс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проводится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по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следующим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номинациям: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«Эффективный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проект»;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«Лучшая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система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обучения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сотрудников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бережливому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производству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(</w:t>
      </w:r>
      <w:proofErr w:type="spellStart"/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клиентоцентричности</w:t>
      </w:r>
      <w:proofErr w:type="spellEnd"/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)»;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«Лучший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proofErr w:type="spellStart"/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клиентоцентричный</w:t>
      </w:r>
      <w:proofErr w:type="spellEnd"/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проект».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Допускается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участие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одной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организации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нескольких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номинациях.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Основные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критерии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оценки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конкурсных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материалов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по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номинациям.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номинации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«Эффективный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проект».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1.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Основные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этапы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реализации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оформление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основных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разделов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анализ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проблем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проекту;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мониторинг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результатов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Оценка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эффективности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достижение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целевых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показателей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экономическая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эффективность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3.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Оценка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возможности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тиражирования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формирование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комплекта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документов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проекту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(методические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рекомендации,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стандарты,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регламенты,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прочее);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примеры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тиражирования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номинации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«Лучшая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система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обучения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сотрудников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бережливому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производству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(</w:t>
      </w:r>
      <w:proofErr w:type="spellStart"/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клиентоцентричности</w:t>
      </w:r>
      <w:proofErr w:type="spellEnd"/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)».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1.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Оценка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вовлечения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сотрудников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процесс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обучения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бережливому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производству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(</w:t>
      </w:r>
      <w:proofErr w:type="spellStart"/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клиентоцентричности</w:t>
      </w:r>
      <w:proofErr w:type="spellEnd"/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):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выявление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потребностей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сотрудников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обучении;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наличие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планов-графиков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обучения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сотрудников;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доля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обученных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сотрудников.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Оценка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содержания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процесса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обучения: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наличие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практических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заданий;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соответствие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процесса,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proofErr w:type="gramStart"/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котором</w:t>
      </w:r>
      <w:proofErr w:type="gramEnd"/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выстроен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учебный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материал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реальному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процессу;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lastRenderedPageBreak/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способы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получения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обратной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связи.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3.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Оценка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методов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обучения: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определение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методов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обучения;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количество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изучаемых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инструментов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бережливого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производства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рамках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обучения;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оформление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методического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пакета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внутреннего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тренера.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номинации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«Лучший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proofErr w:type="spellStart"/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клиентоцентричный</w:t>
      </w:r>
      <w:proofErr w:type="spellEnd"/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проект».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1.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Результативность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сокращение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количества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визитов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клиента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предоставлением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услуги;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сокращение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количества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документов,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предоставляемых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клиентом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для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оказания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услуги;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сокращение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срока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предоставления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услуги.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Наличие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обратной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связи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клиентом: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описание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возможности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предоставления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обратной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связи;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возможность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оценки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предоставления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услуги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proofErr w:type="gramStart"/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любом</w:t>
      </w:r>
      <w:proofErr w:type="gramEnd"/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этапе;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создание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механизма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рассмотрения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предложений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клиентов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доработке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услуги.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3.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Эффективность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тиражирование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проведение</w:t>
      </w:r>
      <w:r>
        <w:rPr>
          <w:rFonts w:ascii="Arial" w:eastAsia="Times New Roman" w:hAnsi="Arial" w:cs="Arial"/>
          <w:color w:val="FB29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замеров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удовлетворенности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клиентов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(удовлетворенность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процедурой,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временем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оказания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услуги,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лояльность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клиента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т.п.);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формирование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комплекта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документов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проекту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(«коробочное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решение»);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примеры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тиражирования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проекта.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Подведение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итогов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конкурса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конкурсной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комиссией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10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апреля</w:t>
      </w:r>
      <w:r>
        <w:rPr>
          <w:rFonts w:ascii="Arial" w:eastAsia="Times New Roman" w:hAnsi="Arial" w:cs="Arial"/>
          <w:i/>
          <w:i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2026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года.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Награждение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по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итогам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конкурса</w:t>
      </w:r>
      <w:r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b/>
          <w:bCs/>
          <w:color w:val="000026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второй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квартал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2026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года.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Дата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будет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объявлена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дополнительно.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Все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интересующие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вопросы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можно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задать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группе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«</w:t>
      </w:r>
      <w:proofErr w:type="spellStart"/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Телеграм</w:t>
      </w:r>
      <w:proofErr w:type="spellEnd"/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»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«Конкурс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«Бережливый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Кузбасс».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Пройти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ссылке: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hyperlink r:id="rId5" w:history="1">
        <w:r w:rsidRPr="009C5688">
          <w:rPr>
            <w:rFonts w:ascii="Arial" w:eastAsia="Times New Roman" w:hAnsi="Arial" w:cs="Arial"/>
            <w:color w:val="000026"/>
            <w:sz w:val="28"/>
            <w:lang w:eastAsia="ru-RU"/>
          </w:rPr>
          <w:t>https://t.me/berejlivyikuzbass</w:t>
        </w:r>
      </w:hyperlink>
    </w:p>
    <w:p w:rsidR="009C5688" w:rsidRDefault="009C5688" w:rsidP="009C5688">
      <w:pPr>
        <w:spacing w:after="0" w:line="416" w:lineRule="atLeast"/>
        <w:jc w:val="righ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br/>
      </w:r>
    </w:p>
    <w:p w:rsidR="009C5688" w:rsidRDefault="009C5688" w:rsidP="009C5688">
      <w:pPr>
        <w:spacing w:after="0" w:line="416" w:lineRule="atLeast"/>
        <w:jc w:val="righ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</w:p>
    <w:p w:rsidR="009C5688" w:rsidRDefault="009C5688" w:rsidP="009C5688">
      <w:pPr>
        <w:spacing w:after="0" w:line="416" w:lineRule="atLeast"/>
        <w:jc w:val="righ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</w:p>
    <w:p w:rsidR="009C5688" w:rsidRDefault="009C5688" w:rsidP="009C5688">
      <w:pPr>
        <w:spacing w:after="0" w:line="416" w:lineRule="atLeast"/>
        <w:jc w:val="righ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</w:p>
    <w:p w:rsidR="009C5688" w:rsidRPr="009C5688" w:rsidRDefault="009C5688" w:rsidP="009C5688">
      <w:pPr>
        <w:spacing w:after="0" w:line="416" w:lineRule="atLeast"/>
        <w:jc w:val="righ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</w:p>
    <w:p w:rsidR="009C5688" w:rsidRPr="009C5688" w:rsidRDefault="009C5688" w:rsidP="009C5688">
      <w:pPr>
        <w:spacing w:after="0" w:line="416" w:lineRule="atLeast"/>
        <w:jc w:val="righ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lastRenderedPageBreak/>
        <w:t>Приложение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№1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</w:p>
    <w:p w:rsidR="009C5688" w:rsidRPr="009C5688" w:rsidRDefault="009C5688" w:rsidP="009C5688">
      <w:pPr>
        <w:spacing w:after="0" w:line="416" w:lineRule="atLeast"/>
        <w:jc w:val="center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ЗАЯВКА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НА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УЧАСТИЕ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региональном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КОНКУРСЕ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лучших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практик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применения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технологий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бережливого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производства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2025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00026"/>
          <w:sz w:val="28"/>
          <w:szCs w:val="28"/>
          <w:lang w:eastAsia="ru-RU"/>
        </w:rPr>
        <w:t>года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27"/>
        <w:gridCol w:w="5987"/>
      </w:tblGrid>
      <w:tr w:rsidR="009C5688" w:rsidRPr="009C5688" w:rsidTr="009C56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Номинация</w:t>
            </w:r>
          </w:p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(выбрать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из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списка)</w:t>
            </w:r>
          </w:p>
        </w:tc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4.75pt;height:13.9pt"/>
              </w:pic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Эффективный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проект</w:t>
            </w:r>
          </w:p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</w:p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pict>
                <v:shape id="_x0000_i1026" type="#_x0000_t75" alt="" style="width:14.75pt;height:13.9pt"/>
              </w:pic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Лучшая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система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обучения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сотрудников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бережливому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производству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(</w:t>
            </w:r>
            <w:proofErr w:type="spellStart"/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клиентоцентричности</w:t>
            </w:r>
            <w:proofErr w:type="spellEnd"/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)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99"/>
            </w:tblGrid>
            <w:tr w:rsidR="009C5688" w:rsidRPr="009C5688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5688" w:rsidRPr="009C5688" w:rsidRDefault="009C5688" w:rsidP="009C5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5688" w:rsidRPr="009C568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5688" w:rsidRPr="009C5688" w:rsidRDefault="009C5688" w:rsidP="009C5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5688" w:rsidRPr="009C5688" w:rsidRDefault="009C5688" w:rsidP="009C5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5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shape id="_x0000_i1027" type="#_x0000_t75" alt="" style="width:14.75pt;height:14.75pt"/>
                    </w:pict>
                  </w:r>
                </w:p>
              </w:tc>
            </w:tr>
          </w:tbl>
          <w:p w:rsidR="009C5688" w:rsidRPr="009C5688" w:rsidRDefault="009C5688" w:rsidP="009C5688">
            <w:pPr>
              <w:spacing w:after="0" w:line="240" w:lineRule="auto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</w:p>
          <w:p w:rsidR="009C5688" w:rsidRPr="009C5688" w:rsidRDefault="009C5688" w:rsidP="009C5688">
            <w:pPr>
              <w:spacing w:after="0" w:line="240" w:lineRule="auto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br/>
            </w:r>
          </w:p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Лучший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клиентоцентричный</w:t>
            </w:r>
            <w:proofErr w:type="spellEnd"/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проект</w:t>
            </w:r>
          </w:p>
        </w:tc>
      </w:tr>
      <w:tr w:rsidR="009C5688" w:rsidRPr="009C5688" w:rsidTr="009C5688"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>организации</w:t>
            </w:r>
            <w:r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>(согласно</w:t>
            </w:r>
            <w:r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>учредительным</w:t>
            </w:r>
            <w:r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>документам)</w:t>
            </w:r>
          </w:p>
        </w:tc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5688" w:rsidRPr="009C5688" w:rsidTr="009C5688"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>Ф.И.О.</w:t>
            </w:r>
            <w:r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>руководителя</w:t>
            </w:r>
            <w:r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>организации,</w:t>
            </w:r>
            <w:r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5688" w:rsidRPr="009C5688" w:rsidTr="009C5688"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>Муниципалитет</w:t>
            </w:r>
          </w:p>
        </w:tc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5688" w:rsidRPr="009C5688" w:rsidTr="009C5688"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Ф.И.О.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контактного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лица</w:t>
            </w:r>
          </w:p>
        </w:tc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5688" w:rsidRPr="009C5688" w:rsidTr="009C5688"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Контактный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5688" w:rsidRPr="009C5688" w:rsidTr="009C5688"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Адрес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электронной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почты</w:t>
            </w:r>
          </w:p>
        </w:tc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5688" w:rsidRPr="009C5688" w:rsidTr="009C5688"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приложенных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конкурсных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материалов</w:t>
            </w:r>
          </w:p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C5688" w:rsidRPr="009C5688" w:rsidRDefault="009C5688" w:rsidP="009C5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214"/>
      </w:tblGrid>
      <w:tr w:rsidR="009C5688" w:rsidRPr="009C5688" w:rsidTr="009C5688">
        <w:tc>
          <w:tcPr>
            <w:tcW w:w="9214" w:type="dxa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_____________________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en-US" w:eastAsia="ru-RU"/>
              </w:rPr>
              <w:t>__________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_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en-US" w:eastAsia="ru-RU"/>
              </w:rPr>
              <w:t>__________________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____</w:t>
            </w:r>
          </w:p>
        </w:tc>
      </w:tr>
      <w:tr w:rsidR="009C5688" w:rsidRPr="009C5688" w:rsidTr="009C5688">
        <w:trPr>
          <w:trHeight w:val="643"/>
        </w:trPr>
        <w:tc>
          <w:tcPr>
            <w:tcW w:w="9214" w:type="dxa"/>
            <w:vAlign w:val="center"/>
            <w:hideMark/>
          </w:tcPr>
          <w:p w:rsidR="009C5688" w:rsidRPr="009C5688" w:rsidRDefault="009C5688" w:rsidP="009C5688">
            <w:pPr>
              <w:spacing w:after="0" w:line="416" w:lineRule="atLeast"/>
              <w:rPr>
                <w:rFonts w:ascii="Arial" w:eastAsia="Times New Roman" w:hAnsi="Arial" w:cs="Arial"/>
                <w:color w:val="000026"/>
                <w:sz w:val="28"/>
                <w:szCs w:val="28"/>
                <w:lang w:eastAsia="ru-RU"/>
              </w:rPr>
            </w:pP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подпись*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Фамилия,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им</w:t>
            </w: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я, отчество руководителя </w:t>
            </w:r>
            <w:r w:rsidRPr="009C568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организации</w:t>
            </w:r>
          </w:p>
        </w:tc>
      </w:tr>
    </w:tbl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*</w:t>
      </w:r>
      <w:r>
        <w:rPr>
          <w:rFonts w:ascii="Arial" w:eastAsia="Times New Roman" w:hAnsi="Arial" w:cs="Arial"/>
          <w:color w:val="000026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Подписывая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заявку,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соискатель: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подтверждает,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что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он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согласен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условиями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участия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конкурсе;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подтверждает,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что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содержащиеся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заявке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сведения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не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содержат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государственной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или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иной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охраняемой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законом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тайны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дает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свое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согласие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на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предоставление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организатором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информации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об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анкетных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данных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третьим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lastRenderedPageBreak/>
        <w:t>лицам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(в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том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числе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путем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размещения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информации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информационно-телекоммуникационной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сети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"Интернет");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дает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согласие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на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использование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организатором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представленных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конкурсных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материалов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по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бережливому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проекту,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также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результатов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исследований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ссылкой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на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соискателя,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том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числе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содержащих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коммерческую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тайну,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иную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конфиденциальную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информацию;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подтверждает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отсутствие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отношении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руководителей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соискателя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решений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уполномоченных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органов,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том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числе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судов,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привлечении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их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к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административной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или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уголовной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ответственности,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также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сведений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реестре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дисквалифицированных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лиц;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подтверждает,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что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организация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не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находится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перечне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организаций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физических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лиц,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отношении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которых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имеются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сведения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об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их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причастности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к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экстремистской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деятельности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или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терроризму.</w:t>
      </w:r>
    </w:p>
    <w:p w:rsidR="009C5688" w:rsidRPr="009C5688" w:rsidRDefault="009C5688" w:rsidP="009C5688">
      <w:pPr>
        <w:spacing w:after="0" w:line="416" w:lineRule="atLeast"/>
        <w:rPr>
          <w:rFonts w:ascii="Arial" w:eastAsia="Times New Roman" w:hAnsi="Arial" w:cs="Arial"/>
          <w:color w:val="000026"/>
          <w:sz w:val="28"/>
          <w:szCs w:val="28"/>
          <w:lang w:eastAsia="ru-RU"/>
        </w:rPr>
      </w:pP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Ответственность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за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достоверность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сведений,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содержащихся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заявке,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возлагается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на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руководителя</w:t>
      </w:r>
      <w:r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9C568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соискателя.</w:t>
      </w:r>
    </w:p>
    <w:p w:rsidR="009B5D01" w:rsidRDefault="009B5D01" w:rsidP="009C5688">
      <w:pPr>
        <w:spacing w:after="0"/>
      </w:pPr>
    </w:p>
    <w:sectPr w:rsidR="009B5D01" w:rsidSect="009C5688">
      <w:pgSz w:w="11906" w:h="16838"/>
      <w:pgMar w:top="1134" w:right="851" w:bottom="1134" w:left="851" w:header="709" w:footer="44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C5688"/>
    <w:rsid w:val="00001C87"/>
    <w:rsid w:val="000A3E8C"/>
    <w:rsid w:val="00332F15"/>
    <w:rsid w:val="003E5F4E"/>
    <w:rsid w:val="006119E6"/>
    <w:rsid w:val="006B18C5"/>
    <w:rsid w:val="009B5D01"/>
    <w:rsid w:val="009C5688"/>
    <w:rsid w:val="00A65140"/>
    <w:rsid w:val="00B952A3"/>
    <w:rsid w:val="00C442F2"/>
    <w:rsid w:val="00CE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56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berejlivyikuzbass" TargetMode="External"/><Relationship Id="rId4" Type="http://schemas.openxmlformats.org/officeDocument/2006/relationships/hyperlink" Target="https://forms.yandex.ru/cloud/69393ec584227cca143b49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Техник-оператор</dc:creator>
  <cp:lastModifiedBy>Техник-оператор</cp:lastModifiedBy>
  <cp:revision>1</cp:revision>
  <dcterms:created xsi:type="dcterms:W3CDTF">2026-02-11T02:52:00Z</dcterms:created>
  <dcterms:modified xsi:type="dcterms:W3CDTF">2026-02-11T02:57:00Z</dcterms:modified>
</cp:coreProperties>
</file>